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职业学校学生实习备案论证表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学校名称（盖章）：广东茂名健康职业学院</w:t>
      </w:r>
    </w:p>
    <w:tbl>
      <w:tblPr>
        <w:tblStyle w:val="6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311"/>
        <w:gridCol w:w="248"/>
        <w:gridCol w:w="1830"/>
        <w:gridCol w:w="1523"/>
        <w:gridCol w:w="352"/>
        <w:gridCol w:w="1512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现代家政服务与管理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590301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实习学生年级</w:t>
            </w:r>
            <w:r>
              <w:rPr>
                <w:rStyle w:val="9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0"/>
            </w:r>
          </w:p>
        </w:tc>
        <w:tc>
          <w:tcPr>
            <w:tcW w:w="7403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级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实习人数（人）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实习单位名称</w:t>
            </w:r>
            <w:r>
              <w:rPr>
                <w:rStyle w:val="9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1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（全称）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广州为想互联网科技有限公司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、广州宜尔宝家庭服务有限公司、广东萌蕊健康管理有限公司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实习起止时间</w:t>
            </w:r>
          </w:p>
        </w:tc>
        <w:tc>
          <w:tcPr>
            <w:tcW w:w="7403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月至20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月至20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22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实习</w:t>
            </w:r>
          </w:p>
        </w:tc>
        <w:tc>
          <w:tcPr>
            <w:tcW w:w="532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1.□突破《规定》第十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条要求，即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实习时间超过6个月；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2.突破《规定》第十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条要求：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□安排学生从事高空、井下、放射性、有毒、易燃易爆，以及其他具有较高安全风险的实习；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安排学生在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休息日、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法定节假日实习；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eq \o\ac(□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instrText xml:space="preserve">,</w:instrText>
            </w:r>
            <w:r>
              <w:rPr>
                <w:rFonts w:hint="eastAsia" w:ascii="宋体" w:hAnsi="宋体" w:cs="宋体"/>
                <w:color w:val="000000"/>
                <w:kern w:val="0"/>
                <w:position w:val="2"/>
                <w:sz w:val="16"/>
                <w:szCs w:val="24"/>
                <w:lang w:eastAsia="zh-CN"/>
              </w:rPr>
              <w:instrText xml:space="preserve">√</w:instrTex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安排学生加班和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夜班。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依据（一般包括：国家和省相关行业规定、校企合作协议，不超过500字）</w:t>
            </w:r>
            <w:r>
              <w:rPr>
                <w:rStyle w:val="9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2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hint="eastAsia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sz w:val="24"/>
                <w:szCs w:val="24"/>
              </w:rPr>
              <w:t>.突破《规定》第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十</w:t>
            </w:r>
            <w:r>
              <w:rPr>
                <w:rFonts w:hint="eastAsia" w:cs="宋体"/>
                <w:color w:val="000000"/>
                <w:sz w:val="24"/>
                <w:szCs w:val="24"/>
                <w:lang w:eastAsia="zh-Hans"/>
              </w:rPr>
              <w:t>七</w:t>
            </w:r>
            <w:r>
              <w:rPr>
                <w:rFonts w:cs="宋体"/>
                <w:color w:val="000000"/>
                <w:sz w:val="24"/>
                <w:szCs w:val="24"/>
              </w:rPr>
              <w:t>条要求：安排学生在法定节假日实习和安排学生加班和夜班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cs="宋体"/>
                <w:color w:val="000000"/>
                <w:sz w:val="24"/>
                <w:szCs w:val="24"/>
              </w:rPr>
              <w:t>家政专业行业性质具有一定特殊性，主要是与人打交道，以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不同的</w:t>
            </w:r>
            <w:r>
              <w:rPr>
                <w:rFonts w:cs="宋体"/>
                <w:color w:val="000000"/>
                <w:sz w:val="24"/>
                <w:szCs w:val="24"/>
              </w:rPr>
              <w:t>顾客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的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不同</w:t>
            </w:r>
            <w:r>
              <w:rPr>
                <w:rFonts w:cs="宋体"/>
                <w:color w:val="000000"/>
                <w:sz w:val="24"/>
                <w:szCs w:val="24"/>
              </w:rPr>
              <w:t>需求为导向，而每个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服务对象</w:t>
            </w:r>
            <w:r>
              <w:rPr>
                <w:rFonts w:cs="宋体"/>
                <w:color w:val="000000"/>
                <w:sz w:val="24"/>
                <w:szCs w:val="24"/>
              </w:rPr>
              <w:t>的具体情况不一样，服务的细节、流程不一样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因此</w:t>
            </w:r>
            <w:r>
              <w:rPr>
                <w:rFonts w:cs="宋体"/>
                <w:color w:val="000000"/>
                <w:sz w:val="24"/>
                <w:szCs w:val="24"/>
              </w:rPr>
              <w:t>需要以雇主、家政公司等的时间、需求进行密切匹配，工作时间存在灵活性。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现代家政服务与管理专业的职业面向有家政服务员、育婴师、老年护理员等，根据家政服务对象的特点，家政专业实习的工作服务时间具有随机性，除了大部分的服务时间主要在工作日外，行业从业人员随时都可能被安排在休息日、法定节假日工作或者安排加班和上夜班，如育婴师的工作时间依据婴儿的作息规律而定，服务时间大多在晚上；家政服务员的时间需要与雇主协商，大多在雇主休息的时间或者节假日。同时，依据校企合作协议，部分家政专业的学生在岗位实习期间需要与带教老师一起值班学习，</w:t>
            </w:r>
            <w:r>
              <w:rPr>
                <w:rFonts w:cs="宋体"/>
                <w:color w:val="000000"/>
                <w:sz w:val="24"/>
                <w:szCs w:val="24"/>
              </w:rPr>
              <w:t>因此要突破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cs="宋体"/>
                <w:color w:val="000000"/>
                <w:sz w:val="24"/>
                <w:szCs w:val="24"/>
              </w:rPr>
              <w:t>规定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第十</w:t>
            </w:r>
            <w:r>
              <w:rPr>
                <w:rFonts w:hint="eastAsia" w:cs="宋体"/>
                <w:color w:val="000000"/>
                <w:sz w:val="24"/>
                <w:szCs w:val="24"/>
                <w:lang w:eastAsia="zh-Hans"/>
              </w:rPr>
              <w:t>七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条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的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要求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，安排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安排学生在</w:t>
            </w:r>
            <w:r>
              <w:rPr>
                <w:rFonts w:hint="eastAsia" w:cs="宋体"/>
                <w:color w:val="000000"/>
                <w:sz w:val="24"/>
                <w:szCs w:val="24"/>
                <w:lang w:eastAsia="zh-Hans"/>
              </w:rPr>
              <w:t>休息日、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法定节假日实习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安排学生加班和</w:t>
            </w:r>
            <w:r>
              <w:rPr>
                <w:rFonts w:hint="eastAsia" w:cs="宋体"/>
                <w:color w:val="000000"/>
                <w:sz w:val="24"/>
                <w:szCs w:val="24"/>
                <w:lang w:eastAsia="zh-Hans"/>
              </w:rPr>
              <w:t>上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夜班</w:t>
            </w: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2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理由（字数不超过1000字）：</w:t>
            </w:r>
          </w:p>
          <w:p>
            <w:pPr>
              <w:widowControl/>
              <w:spacing w:line="276" w:lineRule="auto"/>
              <w:ind w:firstLine="480" w:firstLineChars="200"/>
              <w:jc w:val="left"/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本次专家论证会是对高职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现代家政服务与管理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专业岗位实习的实习目标、实习条件（包括实习单位、实习设施条件、实习带教老师与带教要求等）、实习岗位、实习内容、时间安排、组织与管理、评价与考核以及突破《规定》第十七条要求（安排学生在休息日及法定节假日实习、安排学生加班和夜班）等内容进行论证，意见如下：</w:t>
            </w:r>
          </w:p>
          <w:p>
            <w:pPr>
              <w:widowControl/>
              <w:spacing w:line="276" w:lineRule="auto"/>
              <w:ind w:firstLine="480" w:firstLineChars="200"/>
              <w:jc w:val="left"/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1.现代家政服务与管理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专业人才培养方案中实习目标明确，实习条件能满足专业实习教学需求，实习岗位、实习内容、时间安排、岗位轮转合理，做到有计划、可实施，能使学生有效将理论和实践有机结合，掌握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家政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专业知识与实践技能；组织与管理、评价与考核等从实际情况出发，使学生能够更快适应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家政专业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工作的岗位需求, 岗位实习切实可行。</w:t>
            </w:r>
          </w:p>
          <w:p>
            <w:pPr>
              <w:widowControl/>
              <w:spacing w:line="276" w:lineRule="auto"/>
              <w:ind w:firstLine="480" w:firstLineChars="200"/>
              <w:jc w:val="left"/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2.</w:t>
            </w:r>
            <w:r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  <w:t>为了促进家政服务业实现高质量发展，2019年6月，国务院办公厅印发了《关于促进家政服务业提质扩容的意见》，提出采取综合支持措施，提高家政从业人员素质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因此家政服务行业属于高品质的服务业，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工作具有连续性、不间断性的特殊要求，学生实习工作的内容和实施是根据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服务对象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的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时间及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需要而决定的，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比如面向婴幼儿的服务大多在晚上，故实习生因工作有需要可能被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安排在休息日、法定节假日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工作或者安排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加班和上夜班。突破《规定》第十七条要求（安排学生在休息日及法定节假日实习、安排学生加班和夜班）是必要的。</w:t>
            </w:r>
          </w:p>
          <w:p>
            <w:pPr>
              <w:widowControl/>
              <w:spacing w:line="276" w:lineRule="auto"/>
              <w:ind w:firstLine="480" w:firstLineChars="200"/>
              <w:jc w:val="left"/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  <w:lang w:val="en-US" w:eastAsia="zh-CN"/>
              </w:rPr>
              <w:t>3.针对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家政行业</w:t>
            </w:r>
            <w:r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  <w:t>节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假日用工</w:t>
            </w:r>
            <w:r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  <w:t>需求大，用工荒的问题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，有不少家政公司鼓励家政员以客户需求为重，积攒假期，错过春节后再休，也有建议雇主可以招聘“应急保姆”、短期雇佣来解决节前家庭家政需求。</w:t>
            </w:r>
          </w:p>
          <w:p>
            <w:pPr>
              <w:widowControl/>
              <w:spacing w:line="276" w:lineRule="auto"/>
              <w:ind w:firstLine="480" w:firstLineChars="200"/>
              <w:jc w:val="left"/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因此，实习</w:t>
            </w:r>
            <w:r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  <w:t>突破《规定》第十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七</w:t>
            </w:r>
            <w:r>
              <w:rPr>
                <w:rFonts w:ascii="宋体" w:hAnsi="宋体" w:cs="Arial"/>
                <w:color w:val="333333"/>
                <w:sz w:val="24"/>
                <w:shd w:val="clear" w:color="auto" w:fill="FFFFFF"/>
              </w:rPr>
              <w:t>条要求：安排学生在法定节假日实习和安排学生加班和夜班</w:t>
            </w:r>
            <w:r>
              <w:rPr>
                <w:rFonts w:hint="eastAsia" w:ascii="宋体" w:hAnsi="宋体" w:cs="Arial"/>
                <w:color w:val="333333"/>
                <w:sz w:val="24"/>
                <w:shd w:val="clear" w:color="auto" w:fill="FFFFFF"/>
              </w:rPr>
              <w:t>符合行业需求、市场需求。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专家论证意见：</w:t>
            </w:r>
          </w:p>
          <w:p>
            <w:pPr>
              <w:spacing w:line="360" w:lineRule="auto"/>
              <w:ind w:left="420" w:leftChars="20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、现代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家政服务与管理</w:t>
            </w:r>
            <w:r>
              <w:rPr>
                <w:rFonts w:hint="eastAsia" w:ascii="宋体" w:hAnsi="宋体" w:cs="宋体"/>
                <w:sz w:val="24"/>
              </w:rPr>
              <w:t>专业人才培养大纲的内容完整、可行；</w:t>
            </w:r>
          </w:p>
          <w:p>
            <w:pPr>
              <w:spacing w:line="360" w:lineRule="auto"/>
              <w:ind w:left="420" w:leftChars="200"/>
              <w:rPr>
                <w:rFonts w:hint="eastAsia" w:ascii="宋体" w:hAnsi="宋体" w:eastAsia="宋体" w:cs="宋体"/>
                <w:sz w:val="24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、现代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家政服务与管理</w:t>
            </w:r>
            <w:r>
              <w:rPr>
                <w:rFonts w:hint="eastAsia" w:ascii="宋体" w:hAnsi="宋体" w:cs="宋体"/>
                <w:sz w:val="24"/>
              </w:rPr>
              <w:t>专业实习</w:t>
            </w:r>
            <w:r>
              <w:rPr>
                <w:rFonts w:ascii="宋体" w:hAnsi="宋体" w:cs="宋体"/>
                <w:sz w:val="24"/>
                <w:shd w:val="clear" w:color="auto" w:fill="FFFFFF"/>
              </w:rPr>
              <w:t>突破《规定》</w:t>
            </w:r>
            <w:r>
              <w:rPr>
                <w:rFonts w:cs="宋体"/>
                <w:color w:val="000000"/>
                <w:sz w:val="24"/>
                <w:szCs w:val="24"/>
              </w:rPr>
              <w:t>第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十</w:t>
            </w:r>
            <w:r>
              <w:rPr>
                <w:rFonts w:hint="eastAsia" w:cs="宋体"/>
                <w:color w:val="000000"/>
                <w:sz w:val="24"/>
                <w:szCs w:val="24"/>
                <w:lang w:eastAsia="zh-Hans"/>
              </w:rPr>
              <w:t>七</w:t>
            </w:r>
            <w:r>
              <w:rPr>
                <w:rFonts w:ascii="宋体" w:hAnsi="宋体" w:cs="宋体"/>
                <w:sz w:val="24"/>
                <w:shd w:val="clear" w:color="auto" w:fill="FFFFFF"/>
              </w:rPr>
              <w:t>条要求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符合行业需求；</w:t>
            </w:r>
          </w:p>
          <w:p>
            <w:pPr>
              <w:spacing w:line="360" w:lineRule="auto"/>
              <w:ind w:left="420" w:leftChars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、现代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家政服务与管理</w:t>
            </w:r>
            <w:r>
              <w:rPr>
                <w:rFonts w:hint="eastAsia" w:ascii="宋体" w:hAnsi="宋体" w:cs="宋体"/>
                <w:sz w:val="24"/>
              </w:rPr>
              <w:t>专业有与培养目标相适应的校外教学实习基地。</w:t>
            </w:r>
          </w:p>
          <w:p>
            <w:pPr>
              <w:spacing w:line="360" w:lineRule="auto"/>
              <w:ind w:left="420" w:leftChars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、实习基地有专人负责实习工作，各实习岗位均有带教指导老师。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560" w:firstLineChars="19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专家组长（签名）：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480" w:firstLine="7200" w:firstLineChars="30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专家姓名</w:t>
            </w:r>
            <w:r>
              <w:rPr>
                <w:rStyle w:val="9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3"/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杜晓娟</w:t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广东省好心家政集团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董事长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>
              <w:t>3509921355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杨伟坤</w:t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广东萌蕊健康管理有限公司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董事长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>
              <w:t>8814317940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梁艺芸</w:t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广州为想互联网科技有限公司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人事部经理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t>13632278391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朱德毅</w:t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广州市宜尔宝家庭服务有限公司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总经理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t>13926166558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张锡红</w:t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t>广东</w:t>
            </w:r>
            <w:r>
              <w:rPr>
                <w:rFonts w:hint="eastAsia"/>
                <w:lang w:val="en-US" w:eastAsia="zh-CN"/>
              </w:rPr>
              <w:t>茂名健康职业学院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副教授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18938388196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90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学校意见：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1440" w:firstLineChars="6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以上专业备案情况属实，同意申报！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6960" w:firstLineChars="29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学校（盖章）</w:t>
            </w:r>
          </w:p>
          <w:p>
            <w:pPr>
              <w:widowControl/>
              <w:ind w:firstLine="4320" w:firstLineChars="18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480" w:firstLine="6960" w:firstLineChars="29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ind w:firstLine="120" w:firstLineChars="5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r>
        <w:rPr>
          <w:rFonts w:hint="eastAsia" w:ascii="仿宋" w:hAnsi="仿宋" w:eastAsia="仿宋"/>
          <w:sz w:val="30"/>
          <w:szCs w:val="30"/>
        </w:rPr>
        <w:t>附件：相关文件和校企合作协议</w:t>
      </w:r>
      <w:r>
        <w:rPr>
          <w:rStyle w:val="9"/>
          <w:rFonts w:hint="eastAsia" w:ascii="仿宋" w:hAnsi="仿宋" w:eastAsia="仿宋"/>
          <w:sz w:val="30"/>
          <w:szCs w:val="30"/>
        </w:rPr>
        <w:footnoteReference w:id="4"/>
      </w:r>
    </w:p>
    <w:sectPr>
      <w:pgSz w:w="11906" w:h="16838"/>
      <w:pgMar w:top="1440" w:right="1800" w:bottom="1440" w:left="1800" w:header="851" w:footer="158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请在相应方框打“</w:t>
      </w:r>
      <w:r>
        <w:rPr>
          <w:rFonts w:hint="eastAsia" w:ascii="宋体" w:hAnsi="宋体"/>
        </w:rPr>
        <w:t>√</w:t>
      </w:r>
      <w:r>
        <w:rPr>
          <w:rFonts w:hint="eastAsia"/>
        </w:rPr>
        <w:t>”，下同。</w:t>
      </w:r>
    </w:p>
  </w:footnote>
  <w:footnote w:id="1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若实习单位未定可不填。</w:t>
      </w:r>
    </w:p>
  </w:footnote>
  <w:footnote w:id="2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  <w:color w:val="FF0000"/>
        </w:rPr>
        <w:t>有关文件和协议原件扫描件，应作为佐证材料附上；佐证材料不齐全的，备案不予通过。</w:t>
      </w:r>
    </w:p>
  </w:footnote>
  <w:footnote w:id="3">
    <w:p>
      <w:pPr>
        <w:pStyle w:val="5"/>
        <w:rPr>
          <w:lang w:eastAsia="zh-Hans"/>
        </w:rPr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行数如不够，可自行增加；原则上校内专家不得超过50%。</w:t>
      </w:r>
    </w:p>
  </w:footnote>
  <w:footnote w:id="4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校企合作协议须提供原件PDF扫描件，每份协议对应为一个文件。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10"/>
    <w:footnote w:id="1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zE5YjMyMWJjNTkyZjA0NDRlZWRkOTM0YzkxODAifQ=="/>
    <w:docVar w:name="KGWebUrl" w:val="https://xtbgsafe.gdzwfw.gov.cn/rz_gdjytoa//newoa/missive/kinggridOfficeServer.do?method=officeProcess"/>
  </w:docVars>
  <w:rsids>
    <w:rsidRoot w:val="00EC3322"/>
    <w:rsid w:val="000F1FE8"/>
    <w:rsid w:val="000F696B"/>
    <w:rsid w:val="00176684"/>
    <w:rsid w:val="001E3ED1"/>
    <w:rsid w:val="002106B9"/>
    <w:rsid w:val="002A7598"/>
    <w:rsid w:val="0033123D"/>
    <w:rsid w:val="00364225"/>
    <w:rsid w:val="00375532"/>
    <w:rsid w:val="00385088"/>
    <w:rsid w:val="00487F14"/>
    <w:rsid w:val="004B1BD6"/>
    <w:rsid w:val="004F7B7F"/>
    <w:rsid w:val="00547213"/>
    <w:rsid w:val="00601CB1"/>
    <w:rsid w:val="00603DF1"/>
    <w:rsid w:val="007208D5"/>
    <w:rsid w:val="007B13EE"/>
    <w:rsid w:val="007F1F96"/>
    <w:rsid w:val="007F5E7B"/>
    <w:rsid w:val="00854E27"/>
    <w:rsid w:val="0097694C"/>
    <w:rsid w:val="00A67271"/>
    <w:rsid w:val="00AC6FDD"/>
    <w:rsid w:val="00AD2C57"/>
    <w:rsid w:val="00AE20CC"/>
    <w:rsid w:val="00B14D37"/>
    <w:rsid w:val="00B4665B"/>
    <w:rsid w:val="00B50E76"/>
    <w:rsid w:val="00B71C54"/>
    <w:rsid w:val="00B757B2"/>
    <w:rsid w:val="00C01100"/>
    <w:rsid w:val="00C34E9A"/>
    <w:rsid w:val="00CC5EBB"/>
    <w:rsid w:val="00D2388D"/>
    <w:rsid w:val="00D54BEB"/>
    <w:rsid w:val="00D70A95"/>
    <w:rsid w:val="00D96C53"/>
    <w:rsid w:val="00E21B40"/>
    <w:rsid w:val="00E613F4"/>
    <w:rsid w:val="00E61F80"/>
    <w:rsid w:val="00E93D8D"/>
    <w:rsid w:val="00EC3322"/>
    <w:rsid w:val="00F52484"/>
    <w:rsid w:val="029951A5"/>
    <w:rsid w:val="03311833"/>
    <w:rsid w:val="06002EF6"/>
    <w:rsid w:val="074A1170"/>
    <w:rsid w:val="148D2080"/>
    <w:rsid w:val="16747F1F"/>
    <w:rsid w:val="24BB4889"/>
    <w:rsid w:val="267B39CE"/>
    <w:rsid w:val="2707192B"/>
    <w:rsid w:val="29496B6E"/>
    <w:rsid w:val="2EFF7E8A"/>
    <w:rsid w:val="309D35F6"/>
    <w:rsid w:val="30C459E3"/>
    <w:rsid w:val="31E0602C"/>
    <w:rsid w:val="380F1F81"/>
    <w:rsid w:val="43050491"/>
    <w:rsid w:val="43E0383D"/>
    <w:rsid w:val="47E27250"/>
    <w:rsid w:val="49CD36D6"/>
    <w:rsid w:val="5335441C"/>
    <w:rsid w:val="57772459"/>
    <w:rsid w:val="59235193"/>
    <w:rsid w:val="5CB84491"/>
    <w:rsid w:val="60A42096"/>
    <w:rsid w:val="64F1206D"/>
    <w:rsid w:val="68570ADF"/>
    <w:rsid w:val="6DA17549"/>
    <w:rsid w:val="6E7F0A6D"/>
    <w:rsid w:val="6FFC1C6C"/>
    <w:rsid w:val="73353D51"/>
    <w:rsid w:val="7826304E"/>
    <w:rsid w:val="7C183EDF"/>
    <w:rsid w:val="7C311023"/>
    <w:rsid w:val="7EA72FCB"/>
    <w:rsid w:val="7EDE68B1"/>
    <w:rsid w:val="7F77496B"/>
    <w:rsid w:val="BBFA3F37"/>
    <w:rsid w:val="DB77350F"/>
    <w:rsid w:val="FC6F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footnote reference"/>
    <w:unhideWhenUsed/>
    <w:qFormat/>
    <w:uiPriority w:val="99"/>
    <w:rPr>
      <w:vertAlign w:val="superscript"/>
    </w:rPr>
  </w:style>
  <w:style w:type="character" w:customStyle="1" w:styleId="10">
    <w:name w:val="页脚 字符"/>
    <w:link w:val="3"/>
    <w:qFormat/>
    <w:uiPriority w:val="99"/>
    <w:rPr>
      <w:sz w:val="18"/>
      <w:szCs w:val="18"/>
    </w:rPr>
  </w:style>
  <w:style w:type="character" w:customStyle="1" w:styleId="11">
    <w:name w:val="页眉 字符"/>
    <w:link w:val="4"/>
    <w:qFormat/>
    <w:uiPriority w:val="99"/>
    <w:rPr>
      <w:sz w:val="18"/>
      <w:szCs w:val="18"/>
    </w:rPr>
  </w:style>
  <w:style w:type="character" w:customStyle="1" w:styleId="12">
    <w:name w:val="脚注文本 字符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标题 1 字符"/>
    <w:basedOn w:val="7"/>
    <w:link w:val="2"/>
    <w:qFormat/>
    <w:uiPriority w:val="0"/>
    <w:rPr>
      <w:rFonts w:ascii="宋体" w:hAnsi="宋体"/>
      <w:b/>
      <w:kern w:val="44"/>
      <w:sz w:val="48"/>
      <w:szCs w:val="48"/>
    </w:rPr>
  </w:style>
  <w:style w:type="paragraph" w:customStyle="1" w:styleId="15">
    <w:name w:val="MSG_EN_FONT_STYLE_NAME_TEMPLATE_ROLE_NUMBER MSG_EN_FONT_STYLE_NAME_BY_ROLE_TEXT 27"/>
    <w:basedOn w:val="1"/>
    <w:qFormat/>
    <w:uiPriority w:val="99"/>
    <w:pPr>
      <w:shd w:val="clear" w:color="auto" w:fill="FFFFFF"/>
      <w:spacing w:line="240" w:lineRule="atLeast"/>
      <w:ind w:hanging="120"/>
      <w:jc w:val="left"/>
    </w:pPr>
    <w:rPr>
      <w:rFonts w:ascii="宋体" w:hAnsi="宋体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1692</Words>
  <Characters>1795</Characters>
  <Lines>15</Lines>
  <Paragraphs>4</Paragraphs>
  <TotalTime>8</TotalTime>
  <ScaleCrop>false</ScaleCrop>
  <LinksUpToDate>false</LinksUpToDate>
  <CharactersWithSpaces>1825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2019-05-16T07:25:00Z</dcterms:created>
  <dc:creator>彭涛</dc:creator>
  <cp:lastModifiedBy>何先森</cp:lastModifiedBy>
  <cp:lastPrinted>2023-06-29T03:19:26Z</cp:lastPrinted>
  <dcterms:modified xsi:type="dcterms:W3CDTF">2023-06-29T03:19:30Z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2457ECF44BCC49D8A55B8C782A5C7A84_13</vt:lpwstr>
  </property>
</Properties>
</file>