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中华人民共和国期货和衍生品</w:t>
      </w:r>
      <w:bookmarkEnd w:id="0"/>
      <w:r>
        <w:rPr>
          <w:rFonts w:hint="eastAsia" w:ascii="方正小标宋简体" w:hAnsi="方正小标宋简体" w:eastAsia="方正小标宋简体" w:cs="方正小标宋简体"/>
          <w:sz w:val="44"/>
          <w:szCs w:val="44"/>
        </w:rPr>
        <w:t>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为了规范期货交易和衍生品交易行为，保障各方合法权益，维护市场秩序和社会公共利益，促进期货市场和衍生品市场服务国民经济，防范化解金融风险，维护国家经济安全，制定本法。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在中华人民共和国境内，期货交易和衍生品交易及相关活动，适用本法。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在中华人民共和国境外的期货交易和衍生品交易及相关活动，扰乱中华人民共和国境内市场秩序，损害境内交易者合法权益的，依照本法有关规定处理并追究法律责任。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本法所称期货交易，是指以期货合约或者标准化期权合约为交易标的的交易活动。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本法所称衍生品交易，是指期货交易以外的，以互换合约、远期合约和非标准化期权合约及其组合为交易标的的交易活动。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本法所称期货合约，是指期货交易场所统一制定的、约定在将来某一特定的时间和地点交割一定数量标的物的标准化合约。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本法所称期权合约，是指约定买方有权在将来某一时间以特定价格买入或者卖出约定标的物（包括期货合约）的标准化或非标准化合约。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本法所称互换合约，是指约定在将来某一特定时间内相互交换特定标的物的金融合约。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本法所称远期合约，是指期货合约以外的，约定在将来某一特定的时间和地点交割一定数量标的物的金融合约。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国家支持期货市场健康发展，发挥发现价格、管理风险、配置资源的功能。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国家鼓励利用期货市场和衍生品市场从事套期保值等风险管理活动。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国家采取措施推动农产品期货市场和衍生品市场发展，引导国内农产品生产经营。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本法所称套期保值，是指交易者为管理因其资产、负债等价值变化产生的风险而达成与上述资产、负债等基本吻合的期货交易和衍生品交易的活动。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期货市场和衍生品市场应当建立和完善风险的监测监控与化解处置制度机制，依法限制过度投机行为，防范市场系统性风险。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期货交易和衍生品交易活动，应当遵守法律、行政法规和国家有关规定，遵循公开、公平、公正的原则，禁止欺诈、操纵市场和内幕交易的行为。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参与期货交易和衍生品交易活动的各方具有平等的法律地位，应当遵守自愿、有偿、诚实信用的原则。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　</w:t>
      </w:r>
      <w:r>
        <w:rPr>
          <w:rFonts w:hint="eastAsia" w:ascii="方正仿宋_GB2312" w:hAnsi="方正仿宋_GB2312" w:eastAsia="方正仿宋_GB2312" w:cs="方正仿宋_GB2312"/>
          <w:sz w:val="32"/>
          <w:szCs w:val="32"/>
        </w:rPr>
        <w:t>国务院期货监督管理机构依法对全国期货市场实行集中统一监督管理。国务院对利率、汇率期货的监督管理另有规定的，适用其规定。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衍生品市场由国务院期货监督管理机构或者国务院授权的部门按照职责分工实行监督管理。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期货和衍生品行业协会依法实行自律管理。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　</w:t>
      </w:r>
      <w:r>
        <w:rPr>
          <w:rFonts w:hint="eastAsia" w:ascii="方正仿宋_GB2312" w:hAnsi="方正仿宋_GB2312" w:eastAsia="方正仿宋_GB2312" w:cs="方正仿宋_GB2312"/>
          <w:sz w:val="32"/>
          <w:szCs w:val="32"/>
        </w:rPr>
        <w:t>国家审计机关依法对期货经营机构、期货交易场所、期货结算机构、国务院期货监督管理机构进行审计监督。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期货交易和衍生品交易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禁止在期货交易场所之外进行期货交易。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衍生品交易，可以采用协议交易或者国务院规定的其他交易方式进行。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任何单位和个人不得操纵期货市场或者衍生品市场。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禁止以下列手段操纵期货市场，影响或者意图影响期货交易价格或者期货交易量：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（一）单独或者合谋，集中资金优势、持仓优势或者利用信息优势联合或者连续买卖合约；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（二）与他人串通，以事先约定的时间、价格和方式相互进行期货交易；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（三）在自己实际控制的账户之间进行期货交易；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（四）利用虚假或者不确定的重大信息，诱导交易者进行期货交易；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（五）不以成交为目的，频繁或者大量申报并撤销申报；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（六）对相关期货交易或者合约标的物的交易作出公开评价、预测或者投资建议，并进行反向操作或者相关操作；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（七）为影响期货市场行情囤积现货；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（八）在交割月或者临近交割月，利用不正当手段规避持仓限额，形成持仓优势；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（九）利用在相关市场的活动操纵期货市场；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（十）操纵期货市场的其他手段。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　</w:t>
      </w:r>
      <w:r>
        <w:rPr>
          <w:rFonts w:hint="eastAsia" w:ascii="方正仿宋_GB2312" w:hAnsi="方正仿宋_GB2312" w:eastAsia="方正仿宋_GB2312" w:cs="方正仿宋_GB2312"/>
          <w:sz w:val="32"/>
          <w:szCs w:val="32"/>
        </w:rPr>
        <w:t>本法所称内幕信息，是指可能对期货交易或者衍生品交易的交易价格产生重大影响的尚未公开的信息。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期货交易的内幕信息包括：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（一）国务院期货监督管理机构以及其他相关部门正在制定或者尚未发布的对期货交易价格可能产生重大影响的政策、信息或者数据；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（二）期货交易场所、期货结算机构作出的可能对期货交易价格产生重大影响的决定；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（三）期货交易场所会员、交易者的资金和交易动向；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（四）相关市场中的重大异常交易信息；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（五）国务院期货监督管理机构规定的对期货交易价格有重大影响的其他信息。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本法所称内幕信息的知情人，是指由于经营地位、管理地位、监督地位或者职务便利等，能够接触或者获得内幕信息的单位和个人。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期货交易的内幕信息的知情人包括：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（一）期货经营机构、期货交易场所、期货结算机构、期货服务机构的有关人员；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（二）国务院期货监督管理机构和其他有关部门的工作人员；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（三）国务院期货监督管理机构规定的可以获取内幕信息的其他单位和个人。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禁止任何单位和个人编造、传播虚假信息或者误导性信息，扰乱期货市场和衍生品市场。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作出虚假陈述或者信息误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期货合约品种和标准化期权合约品种的上市应当符合国务院期货监督管理机构的规定，由期货交易场所依法报经国务院期货监督管理机构注册。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期货合约品种和标准化期权合约品种的中止上市、恢复上市、终止上市应当符合国务院期货监督管理机构的规定，由期货交易场所决定并向国务院期货监督管理机构备案。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期货合约品种和标准化期权合约品种应当具有经济价值，合约不易被操纵，符合社会公共利益。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期货交易实行账户实名制。交易者进行期货交易的，应当持有证明身份的合法证件，以本人名义申请开立账户。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任何单位和个人不得违反规定，出借自己的期货账户或者借用他人的期货账户从事期货交易。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在期货交易场所进行期货交易的，应当是期货交易场所会员或者符合国务院期货监督管理机构规定的其他参与者。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交易者委托期货经营机构进行交易的，可以通过书面、电话、自助终端、网络等方式下达交易指令。交易指令应当明确、具体、全面。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　</w:t>
      </w:r>
      <w:r>
        <w:rPr>
          <w:rFonts w:hint="eastAsia" w:ascii="方正仿宋_GB2312" w:hAnsi="方正仿宋_GB2312" w:eastAsia="方正仿宋_GB2312" w:cs="方正仿宋_GB2312"/>
          <w:sz w:val="32"/>
          <w:szCs w:val="32"/>
        </w:rPr>
        <w:t>通过计算机程序自动生成或者下达交易指令进行程序化交易的，应当符合国务院期货监督管理机构的规定，并向期货交易场所报告，不得影响期货交易场所系统安全或者正常交易秩序。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期货交易实行保证金制度，期货结算机构向结算参与人收取保证金，结算参与人向交易者收取保证金。保证金用于结算和履约保障。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证金的形式包括现金，国债、股票、基金份额、标准仓单等流动性强的有价证券，以及国务院期货监督管理机构规定的其他财产。以有价证券等作为保证金的，可以依法通过质押等具有履约保障功能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期货结算机构、结算参与人收取的保证金的形式、比例等应当符合国务院期货监督管理机构的规定。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交易者进行标准化期权合约交易的，卖方应当缴纳保证金，买方应当支付权利金。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前款所称权利金是指买方支付的用于购买标准化期权合约的资金。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期货交易实行持仓限额制度，防范合约持仓过度集中的风险。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从事套期保值等风险管理活动的，可以申请持仓限额豁免。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持仓限额、套期保值的管理办法由国务院期货监督管理机构制定。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期货交易实行交易者实际控制关系报备管理制度。交易者应当按照国务院期货监督管理机构的规定向期货经营机构或者期货交易场所报备实际控制关系。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期货交易的收费应当合理，收费项目、收费标准和管理办法应当公开。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依照期货交易场所依法制定的业务规则进行的交易，不得改变其交易结果，本法第八十九条第二款规定的除外。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期货交易场所会员和交易者应当按照国务院期货监督管理机构的规定，报告有关交易、持仓、保证金等重大事项。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任何单位和个人不得违规使用信贷资金、财政资金进行期货交易。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　</w:t>
      </w:r>
      <w:r>
        <w:rPr>
          <w:rFonts w:hint="eastAsia" w:ascii="方正仿宋_GB2312" w:hAnsi="方正仿宋_GB2312" w:eastAsia="方正仿宋_GB2312" w:cs="方正仿宋_GB2312"/>
          <w:sz w:val="32"/>
          <w:szCs w:val="32"/>
        </w:rPr>
        <w:t>期货经营机构、期货交易场所、期货结算机构、期货服务机构等机构及其从业人员对发现的禁止的交易行为，应当及时向国务院期货监督管理机构报告。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第三节　衍生品交易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　</w:t>
      </w:r>
      <w:r>
        <w:rPr>
          <w:rFonts w:hint="eastAsia" w:ascii="方正仿宋_GB2312" w:hAnsi="方正仿宋_GB2312" w:eastAsia="方正仿宋_GB2312" w:cs="方正仿宋_GB2312"/>
          <w:sz w:val="32"/>
          <w:szCs w:val="32"/>
        </w:rPr>
        <w:t>依法设立的场所，经国务院授权的部门或者国务院期货监督管理机构审批，可以组织开展衍生品交易。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组织开展衍生品交易的场所制定的交易规则，应当公平保护交易参与各方合法权益和防范市场风险，并报国务院授权的部门或者国务院期货监督管理机构批准。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金融机构开展衍生品交易业务，应当依法经过批准或者核准，履行交易者适当性管理义务，并应当遵守国家有关监督管理规定。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衍生品交易采用主协议方式的，主协议、主协议项下的全部补充协议以及交易双方就各项具体交易作出的约定等，共同构成交易双方之间一个完整的单一协议，具有法律约束力。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本法第三十二条规定的主协议等合同范本，应当按照国务院授权的部门或者国务院期货监督管理机构的规定报送备案。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进行衍生品交易，可以依法通过质押等方式提供履约保障。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依法采用主协议方式从事衍生品交易的，发生约定的情形时，可以依照协议约定终止交易，并按净额对协议项下的全部交易盈亏进行结算。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依照前款规定进行的净额结算，不因交易任何一方依法进入破产程序而中止、无效或者撤销。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依法进行的集中结算，不因参与结算的任何一方依法进入破产程序而中止、无效或者撤销。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对衍生品交易及相关活动进行规范和监督管理的具体办法，由国务院依照本法的原则规定。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期货结算与交割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期货结算机构、结算参与人收取的保证金、权利金等，应当与其自有资金分开，按照国务院期货监督管理机构的规定，在期货保证金存管机构专户存放，分别管理，禁止违规挪用。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交易者的保证金不符合结算参与人与交易者约定标准的，结算参与人应当按照约定通知交易者在约定时间内追加保证金或者自行平仓；交易者未在约定时间内追加保证金或者自行平仓的，按照约定强行平仓。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以有价证券等作为保证金，期货结算机构、结算参与人按照前两款规定强行平仓的，可以对有价证券等进行处置。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本法所称结算担保金，是指结算参与人以自有资金向期货结算机构缴纳的，用于担保履约的资金。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期货结算机构依照其业务规则收取和提取的保证金、权利金、结算担保金、风险准备金等资产，应当优先用于结算和交割，不得被查封、冻结、扣押或者强制执行。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在结算和交割完成之前，任何人不得动用用于担保履约和交割的保证金、进入交割环节的交割财产。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依法进行的结算和交割，不因参与结算的任何一方依法进入破产程序而中止、无效或者撤销。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期货合约到期时，交易者应当通过实物交割或者现金交割，了结到期未平仓合约。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期货合约采取实物交割的，由期货结算机构负责组织货款与标准仓单等合约标的物权利凭证的交付。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期货合约采取现金交割的，由期货结算机构以交割结算价为基础，划付持仓双方的盈亏款项。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本法所称标准仓单，是指交割库开具并经期货交易场所登记的标准化提货凭证。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结算参与人在交割过程中违约的，期货结算机构有权对结算参与人的标准仓单等合约标的物权利凭证进行处置。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交易者在交割过程中违约的，结算参与人有权对交易者的标准仓单等合约标的物权利凭证进行处置。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期货交易者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期货交易者是指依照本法从事期货交易，承担交易结果的自然人、法人和非法人组织。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期货交易者从事期货交易，除国务院期货监督管理机构另有规定外，应当委托期货经营机构进行。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交易者在参与期货交易和接受服务时，应当按照期货经营机构明示的要求提供前款所列真实信息。拒绝提供或者未按照要求提供信息的，期货经营机构应当告知其后果，并按照规定拒绝提供服务。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期货经营机构违反第一款规定导致交易者损失的，应当承担相应的赔偿责任。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根据财产状况、金融资产状况、交易知识和经验、专业能力等因素，交易者可以分为普通交易者和专业交易者。专业交易者的标准由国务院期货监督管理机构规定。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普通交易者与期货经营机构发生纠纷的，期货经营机构应当证明其行为符合法律、行政法规以及国务院期货监督管理机构的规定，不存在误导、欺诈等情形。期货经营机构不能证明的，应当承担相应的赔偿责任。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参与期货交易的法人和非法人组织，应当建立与其交易合约类型、规模、目的等相适应的内部控制制度和风险控制制度。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期货经营机构、期货交易场所、期货结算机构的从业人员，国务院期货监督管理机构、期货业协会的工作人员，以及法律、行政法规和国务院期货监督管理机构规定禁止参与期货交易的其他人员，不得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交易者有权查询其委托记录、交易记录、保证金余额、与其接受服务有关的其他重要信息。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期货经营机构、期货交易场所、期货结算机构、期货服务机构及其工作人员应当依法为交易者的信息保密，不得非法买卖、提供或者公开交易者的信息。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期货经营机构、期货交易场所、期货结算机构、期货服务机构及其工作人员不得泄露所知悉的商业秘密。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交易者与期货经营机构等发生纠纷的，双方可以向行业协会等申请调解。普通交易者与期货经营机构发生期货业务纠纷并提出调解请求的，期货经营机构不得拒绝。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交易者提起操纵市场、内幕交易等期货民事赔偿诉讼时，诉讼标的是同一种类，且当事人一方人数众多的，可以依法推选代表人进行诉讼。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国家设立期货交易者保障基金。期货交易者保障基金的筹集、管理和使用的具体办法，由国务院期货监督管理机构会同国务院财政部门制定。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期货经营机构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期货经营机构是指依照《中华人民共和国公司法》和本法设立的期货公司以及国务院期货监督管理机构核准从事期货业务的其他机构。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设立期货公司，应当具备下列条件，并经国务院期货监督管理机构核准：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（一）有符合法律、行政法规规定的公司章程；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（二）主要股东及实际控制人具有良好的财务状况和诚信记录，净资产不低于国务院期货监督管理机构规定的标准，最近三年无重大违法违规记录；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（三）注册资本不低于人民币一亿元，且应当为实缴货币资本；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（四）从事期货业务的人员符合本法规定的条件，董事、监事和高级管理人员具备相应的任职条件；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（五）有良好的公司治理结构、健全的风险管理制度和完善的内部控制制度；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（六）有合格的经营场所、业务设施和信息技术系统；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（七）法律、行政法规和国务院期货监督管理机构规定的其他条件。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国务院期货监督管理机构根据审慎监管原则和各项业务的风险程度，可以提高注册资本最低限额。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国务院期货监督管理机构应当自受理期货公司设立申请之日起六个月内依照法定条件、法定程序和审慎监管原则进行审查，作出核准或者不予核准的决定，并通知申请人；不予核准的，应当说明理由。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期货公司应当在其名称中标明“期货”字样，国务院期货监督管理机构另有规定的除外。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期货公司办理下列事项，应当经国务院期货监督管理机构核准：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（一）合并、分立、停业、解散或者申请破产；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（二）变更主要股东或者公司的实际控制人；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（三）变更注册资本且调整股权结构；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（四）变更业务范围；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（五）国务院期货监督管理机构规定的其他重大事项。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第三项、第五项所列事项，国务院期货监督管理机构应当自受理申请之日起二十日内作出核准或者不予核准的决定；前款所列其他事项，国务院期货监督管理机构应当自受理申请之日起六十日内作出核准或者不予核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期货公司经国务院期货监督管理机构核准可以从事下列期货业务：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（一）期货经纪；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（二）期货交易咨询；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（三）期货做市交易；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（四）其他期货业务。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期货公司从事资产管理业务的，应当符合《中华人民共和国证券投资基金法》等法律、行政法规的规定。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期货公司的董事、监事、高级管理人员，应当正直诚实、品行良好，熟悉期货法律、行政法规，具有履行职责所需的经营管理能力。期货公司任免董事、监事、高级管理人员，应当报国务院期货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有下列情形之一的，不得担任期货公司的董事、监事、高级管理人员：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（一）存在《中华人民共和国公司法》规定的不得担任公司董事、监事和高级管理人员的情形；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（二）因违法行为或者违纪行为被解除职务的期货经营机构的董事、监事、高级管理人员，或者期货交易场所、期货结算机构的负责人，自被解除职务之日起未逾五年；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（三）因违法行为或者违纪行为被吊销执业证书或者被取消资格的注册会计师、律师或者其他期货服务机构的专业人员，自被吊销执业证书或者被取消资格之日起未逾五年。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期货经营机构应当依法经营，勤勉尽责，诚实守信。期货经营机构应当建立健全内部控制制度，采取有效隔离措施，防范经营机构与客户之间、不同客户之间的利益冲突。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期货经营机构应当将其期货经纪业务、期货做市交易业务、资产管理业务和其他相关业务分开办理，不得混合操作。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期货经营机构应当依法建立并执行反洗钱制度。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期货经营机构接受交易者委托为其进行期货交易，应当签订书面委托合同，以自己的名义为交易者进行期货交易，交易结果由交易者承担。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期货经营机构从事经纪业务，不得接受交易者的全权委托。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期货经营机构从事资产管理业务，接受客户委托，运用客户资产进行投资的，应当公平对待所管理的不同客户资产，不得违背受托义务。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期货经营机构不得违反规定为其股东、实际控制人或者股东、实际控制人的关联人提供融资或者担保，不得违反规定对外担保。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期货经营机构从事期货业务的人员应当正直诚实、品行良好，具备从事期货业务所需的专业能力。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期货经营机构从事期货业务的人员不得私下接受客户委托从事期货交易。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期货经营机构从事期货业务的人员在从事期货业务活动中，执行所属的期货经营机构的指令或者利用职务违反期货交易规则的，由所属的期货经营机构承担全部责任。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务院期货监督管理机构应当制定期货经营机构持续性经营规则，对期货经营机构及其分支机构的经营条件、风险管理、内部控制、保证金存管、合规管理、风险监管指标、关联交易等方面作出规定。期货经营机构应当符合持续性经营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期货经营机构及其主要股东、实际控制人或者其他关联人向国务院期货监督管理机构报送或者提供的信息、资料，应当真实、准确、完整。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期货经营机构涉及重大诉讼、仲裁，股权被冻结或者用于担保，以及发生其他重大事件时，应当自该事件发生之日起五日内向国务院期货监督管理机构提交书面报告。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期货经营机构的控股股东或者实际控制人应当配合期货经营机构履行前款规定的义务。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（一）限制或者暂停部分业务；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（二）停止核准新增业务；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（三）限制分配红利，限制向董事、监事、高级管理人员支付报酬、提供福利；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（四）限制转让财产或者在财产上设定其他权利；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（五）责令更换董事、监事、高级管理人员或者有关业务部门、分支机构的负责人员，或者限制其权利；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（六）限制期货经营机构自有资金或者风险准备金的调拨和使用；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（七）认定负有责任的董事、监事、高级管理人员为不适当人选；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（八）责令负有责任的股东转让股权，限制负有责任的股东行使股东权利。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对经过整改符合有关法律、行政法规规定以及持续性经营规则要求的期货经营机构，国务院期货监督管理机构应当自验收完毕之日起三日内解除对其采取的有关措施。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对经过整改仍未达到持续性经营规则要求，严重影响正常经营的期货经营机构，国务院期货监督管理机构有权撤销其部分或者全部期货业务许可、关闭其部分或者全部分支机构。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期货经营机构违法经营或者出现重大风险，严重危害期货市场秩序、损害交易者利益的，国务院期货监督管理机构可以对该期货经营机构采取责令停业整顿、指定其他机构托管或者接管等监督管理措施。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期货经营机构有前款所列情形，经国务院期货监督管理机构批准，可以对该期货经营机构直接负责的董事、监事、高级管理人员和其他直接责任人员采取以下措施：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（一）决定并通知出境入境管理机关依法阻止其出境；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（二）申请司法机关禁止其转移、转让或者以其他方式处分财产，或者在财产上设定其他权利。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期货经营机构的股东有虚假出资、抽逃出资行为的，国务院期货监督管理机构应当责令其限期改正，并可责令其转让所持期货经营机构的股权。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在股东依照前款规定的要求改正违法行为、转让所持期货经营机构的股权前，国务院期货监督管理机构可以限制其股东权利。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期货经营机构有下列情形之一的，国务院期货监督管理机构应当依法办理相关业务许可证注销手续：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（一）营业执照被依法吊销；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（二）成立后无正当理由超过三个月未开始营业，或者开业后无正当理由停业连续三个月以上；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（三）主动提出注销申请；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（四）《中华人民共和国行政许可法》和国务院期货监督管理机构规定应当注销行政许可的其他情形。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期货经营机构在注销相关业务许可证前，应当结清相关期货业务，并依法返还交易者的保证金和其他资产。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国务院期货监督管理机构认为必要时，可以委托期货服务机构对期货经营机构的财务状况、内部控制状况、资产价值进行审计或者评估。具体办法由国务院期货监督管理机构会同有关主管部门制定。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禁止期货经营机构从事下列损害交易者利益的行为：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（一）向交易者作出保证其资产本金不受损失或者取得最低收益承诺；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（二）与交易者约定分享利益、共担风险；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（三）违背交易者委托进行期货交易；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（四）隐瞒重要事项或者使用其他不正当手段，诱骗交易者交易；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（五）以虚假或者不确定的重大信息为依据向交易者提供交易建议；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（六）向交易者提供虚假成交回报；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（七）未将交易者交易指令下达到期货交易场所；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（八）挪用交易者保证金；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（九）未依照规定在期货保证金存管机构开立保证金账户，或者违规划转交易者保证金；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（十）利用为交易者提供服务的便利，获取不正当利益或者转嫁风险；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（十一）其他损害交易者权益的行为。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期货交易场所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期货交易场所应当遵循社会公共利益优先原则，为期货交易提供场所和设施，组织和监督期货交易，维护市场的公平、有序和透明，实行自律管理。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设立、变更和解散期货交易所，应当由国务院期货监督管理机构批准。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设立期货交易所应当制定章程。期货交易所章程的制定和修改，应当经国务院期货监督管理机构批准。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期货交易所应当在其名称中标明“商品交易所”或者“期货交易所”等字样。其他任何单位或者个人不得使用期货交易所或者其他可能产生混淆或者误导的名称。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期货交易所可以采取会员制或者公司制的组织形式。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会员制期货交易所的组织机构由其章程规定。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期货交易所依照法律、行政法规和国务院期货监督管理机构的规定，制定有关业务规则；其中交易规则的制定和修改应当报国务院期货监督管理机构批准。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期货交易所业务规则应当体现公平保护会员、交易者等市场相关各方合法权益的原则。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在期货交易所从事期货交易及相关活动，应当遵守期货交易所依法制定的业务规则。违反业务规则的，由期货交易所给予纪律处分或者采取其他自律管理措施。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期货交易所的负责人由国务院期货监督管理机构提名或者任免。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有《中华人民共和国公司法》规定的不适合担任公司董事、监事、高级管理人员的情形或者下列情形之一的，不得担任期货交易所的负责人：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（一）因违法行为或者违纪行为被解除职务的期货经营机构的董事、监事、高级管理人员，或者期货交易场所、期货结算机构的负责人，自被解除职务之日起未逾五年；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（二）因违法行为或者违纪行为被吊销执业证书或者被取消资格的注册会计师、律师或者其他期货服务机构的专业人员，自被吊销执业证书或者被取消资格之日起未逾五年。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期货交易场所应当依照本法和国务院期货监督管理机构的规定，加强对交易活动的风险控制和对会员以及交易场所工作人员的监督管理，依法履行下列职责：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（一）提供交易的场所、设施和服务；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（二）设计期货合约、标准化期权合约品种，安排期货合约、标准化期权合约品种上市；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（三）对期货交易进行实时监控和风险监测；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（四）依照章程和业务规则对会员、交易者、期货服务机构等进行自律管理；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（五）开展交易者教育和市场培育工作；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（六）国务院期货监督管理机构规定的其他职责。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期货交易场所不得直接或者间接参与期货交易。未经国务院批准，期货交易场所不得从事信托投资、股票投资、非自用不动产投资等与其职责无关的业务。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期货交易所的所得收益按照国家有关规定管理和使用，应当首先用于保证期货交易的场所、设施的运行和改善。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　</w:t>
      </w:r>
      <w:r>
        <w:rPr>
          <w:rFonts w:hint="eastAsia" w:ascii="方正仿宋_GB2312" w:hAnsi="方正仿宋_GB2312" w:eastAsia="方正仿宋_GB2312" w:cs="方正仿宋_GB2312"/>
          <w:sz w:val="32"/>
          <w:szCs w:val="32"/>
        </w:rPr>
        <w:t>期货交易场所应当加强对期货交易的风险监测，出现异常情况的，期货交易场所可以依照业务规则，单独或者会同期货结算机构采取下列紧急措施，并立即报告国务院期货监督管理机构：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（一）调整保证金；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（二）调整涨跌停板幅度；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（三）调整会员、交易者的交易限额或持仓限额标准；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（四）限制开仓；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（五）强行平仓；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（六）暂时停止交易；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（七）其他紧急措施。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异常情况消失后，期货交易场所应当及时取消紧急措施。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期货交易场所应当实时公布期货交易即时行情，并按交易日制作期货市场行情表，予以公布。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期货交易行情的权益由期货交易场所享有。未经期货交易场所许可，任何单位和个人不得发布期货交易行情。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期货交易场所不得发布价格预测信息。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期货交易场所应当依照国务院期货监督管理机构的规定，履行信息报告义务。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因突发性事件影响期货交易正常进行时，为维护期货交易正常秩序和市场公平，期货交易场所可以按照本法和业务规则规定采取必要的处置措施，并应当及时向国务院期货监督管理机构报告。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期货交易场所对其依照本法第八十七条、第八十九条规定采取措施造成的损失，不承担民事赔偿责任，但存在重大过错的除外。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期货结算机构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期货结算机构是指依法设立，为期货交易提供结算、交割服务，实行自律管理的法人。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期货结算机构包括内部设有结算部门的期货交易场所、独立的期货结算机构和经国务院期货监督管理机构批准从事与证券业务相关的期货交易结算、交割业务的证券结算机构。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独立的期货结算机构的设立、变更和解散，应当经国务院期货监督管理机构批准。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设立独立的期货结算机构，应当具备下列条件：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（一）具备良好的财务状况，注册资本最低限额符合国务院期货监督管理机构的规定；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（二）有具备任职专业知识和业务工作经验的高级管理人员；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（三）具备完善的治理结构、内部控制制度和风险控制制度；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（四）具备符合要求的营业场所、信息技术系统以及与期货交易的结算有关的其他设施；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（五）国务院期货监督管理机构规定的其他条件。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承担期货结算机构职责的期货交易场所，应当具备本条第二款规定的条件。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国务院期货监督管理机构应当根据审慎监管原则进行审查，在六个月内作出批准或者不予批准的决定。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期货结算机构作为中央对手方，是结算参与人共同对手方，进行净额结算，为期货交易提供集中履约保障。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期货结算机构履行下列职责：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（一）组织期货交易的结算、交割；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（二）按照章程和业务规则对交易者、期货经营机构、期货服务机构、非期货经营机构结算参与人等进行自律管理；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（三）办理与期货交易的结算、交割有关的信息查询业务；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（四）国务院期货监督管理机构规定的其他职责。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期货结算机构应当按照国务院期货监督管理机构的规定，在其业务规则中规定结算参与人制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期货结算机构制定和执行业务规则，应当与期货交易场所的相关制度衔接、协调。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期货结算机构应当建立流动性管理制度，保障结算活动的稳健运行。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本法第八十四条，第八十五条第二款，第八十六条，第八十八条第三款、第四款的规定，适用于独立的期货结算机构和经批准从事期货交易结算、交割业务的证券结算机构。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期货服务机构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交割库包括交割仓库和交割厂库等。交割库为期货交易的交割提供相关服务，应当符合期货交易场所规定的条件。期货交易场所应当与交割库签订协议，明确双方的权利和义务。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交割库不得有下列行为：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（一）出具虚假仓单；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（二）违反期货交易场所的业务规则，限制交割商品的出库、入库；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（三）泄露与期货交易有关的商业秘密；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（四）违反国家有关规定参与期货交易；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（五）违反国务院期货监督管理机构规定的其他行为。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为期货交易及相关活动提供信息技术系统服务的机构，应当符合国家及期货行业信息安全相关的技术管理规定和标准，并向国务院期货监督管理机构备案。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国务院期货监督管理机构可以依法要求信息技术服务机构提供前款规定的信息技术系统的相关材料。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期货业协会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期货业协会是期货行业的自律性组织，是社会团体法人。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期货经营机构应当加入期货业协会。期货服务机构可以加入期货业协会。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期货业协会的权力机构为会员大会。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期货业协会的章程由会员大会制定，并报国务院期货监督管理机构备案。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期货业协会设理事会。理事会成员依照章程的规定选举产生。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期货业协会履行下列职责：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（一）制定和实施行业自律规则，监督、检查会员的业务活动及从业人员的执业行为，对违反法律、行政法规、国家有关规定、协会章程和自律规则的，按照规定给予纪律处分或者实施其他自律管理措施；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（二）对会员之间、会员与交易者之间发生的纠纷进行调解；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（三）依法维护会员的合法权益，向国务院期货监督管理机构反映会员的建议和要求；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（四）组织期货从业人员的业务培训，开展会员间的业务交流；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（五）教育会员和期货从业人员遵守期货法律法规和政策，组织开展行业诚信建设，建立行业诚信激励约束机制；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（六）开展交易者教育和保护工作，督促会员落实交易者适当性管理制度，开展期货市场宣传；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（七）对会员的信息安全工作实行自律管理，督促会员执行国家和行业信息安全相关规定和技术标准；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（八）组织会员就期货行业的发展、运作及有关内容进行研究，收集整理、发布期货相关信息，提供会员服务，组织行业交流，引导行业创新发展；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（九）期货业协会章程规定的其他职责。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国务院期货监督管理机构依法对期货市场实行监督管理，维护期货市场公开、公平、公正，防范系统性风险，维护交易者合法权益，促进期货市场健康发展。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国务院期货监督管理机构在对期货市场实施监督管理中，依法履行下列职责：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（一）制定有关期货市场监督管理的规章、规则，并依法进行审批、核准、注册，办理备案；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（二）对品种的上市、交易、结算、交割等期货交易及相关活动，进行监督管理；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（三）对期货经营机构、期货交易场所、期货结算机构、期货服务机构和非期货经营机构结算参与人等市场相关参与者的期货业务活动，进行监督管理；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（四）制定期货从业人员的行为准则，并监督实施；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（五）监督检查期货交易的信息公开情况；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（六）维护交易者合法权益、开展交易者教育；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（七）对期货违法行为进行查处；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（八）监测监控并防范、处置期货市场风险；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（九）对期货行业金融科技和信息安全进行监管；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（十）对期货业协会的自律管理活动进行指导和监督；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（十一）法律、行政法规规定的其他职责。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国务院期货监督管理机构根据需要可以设立派出机构，依照授权履行监督管理职责。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国务院期货监督管理机构依法履行职责，有权采取下列措施：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（一）对期货经营机构、期货交易场所、期货结算机构进行现场检查，并要求其报送有关的财务会计、业务活动、内部控制等资料；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（二）进入涉嫌违法行为发生场所调查取证；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（三）询问当事人和与被调查事件有关的单位和个人，要求其对与被调查事件有关的事项作出说明，或者要求其按照指定的方式报送与被调查事件有关的文件和资料；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（四）查阅、复制与被调查事件有关的财产权登记、通讯记录等文件和资料；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（五）查阅、复制当事人和与被调查事件有关的单位和个人的期货交易记录、财务会计资料及其他相关文件和资料；对可能被转移、隐匿或者毁损的文件资料，可以予以封存、扣押；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（八）决定并通知出境入境管理机关依法阻止涉嫌违法人员、涉嫌违法单位的主管人员和其他直接责任人员出境。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为防范期货市场风险，维护市场秩序，国务院期货监督管理机构可以采取责令改正、监管谈话、出具警示函等措施。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　</w:t>
      </w:r>
      <w:r>
        <w:rPr>
          <w:rFonts w:hint="eastAsia" w:ascii="方正仿宋_GB2312" w:hAnsi="方正仿宋_GB2312" w:eastAsia="方正仿宋_GB2312" w:cs="方正仿宋_GB2312"/>
          <w:sz w:val="32"/>
          <w:szCs w:val="32"/>
        </w:rPr>
        <w:t>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国务院期货监督管理机构的工作人员，应当依法办事，忠于职守，公正廉洁，保守国家秘密和有关当事人的商业秘密，不得利用职务便利牟取不正当利益。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国务院期货监督管理机构依法履行职责，被检查、调查的单位和个人应当配合，如实作出说明或者提供有关文件和资料，不得拒绝、阻碍和隐瞒。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国务院期货监督管理机构与其他相关部门，应当建立信息共享等监督管理协调配合机制。国务院期货监督管理机构依法履行职责，进行监督检查或者调查时，有关部门应当予以配合。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对涉嫌期货违法、违规行为，任何单位和个人有权向国务院期货监督管理机构举报。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对涉嫌重大违法、违规行为的实名举报线索经查证属实的，国务院期货监督管理机构按照规定给予举报人奖励。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国务院期货监督管理机构应当对举报人的身份信息保密。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国务院期货监督管理机构制定的规章、规则和监督管理工作制度应当依法公开。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国务院期货监督管理机构依据调查结果，对期货违法行为作出的处罚决定，应当依法公开。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国务院期货监督管理机构中止或者终止调查的，应当按照规定公开相关信息。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国务院期货监督管理机构依法将有关期货市场主体遵守本法的情况纳入期货市场诚信档案。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国务院期货监督管理机构依法履行职责，发现期货违法行为涉嫌犯罪的，应当依法将案件移送司法机关处理；发现公职人员涉嫌职务违法或者职务犯罪的，应当依法移送监察机关处理。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第一百一十五条　</w:t>
      </w:r>
      <w:r>
        <w:rPr>
          <w:rFonts w:hint="eastAsia" w:ascii="方正仿宋_GB2312" w:hAnsi="方正仿宋_GB2312" w:eastAsia="方正仿宋_GB2312" w:cs="方正仿宋_GB2312"/>
          <w:sz w:val="32"/>
          <w:szCs w:val="32"/>
        </w:rPr>
        <w:t>国务院期货监督管理机构应当建立健全期货市场监测监控制度，通过专门机构加强保证金安全存管监控。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为防范交易及结算的风险，期货经营机构、期货交易场所、期货结算机构和非期货经营机构结算参与人应当从业务收入中按照国务院期货监督管理机构、国务院财政部门的规定提取、管理和使用风险准备金。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第十一章　跨境交易与监管协作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第一百一十九条</w:t>
      </w:r>
      <w:r>
        <w:rPr>
          <w:rFonts w:hint="eastAsia" w:ascii="方正仿宋_GB2312" w:hAnsi="方正仿宋_GB2312" w:eastAsia="方正仿宋_GB2312" w:cs="方正仿宋_GB2312"/>
          <w:sz w:val="32"/>
          <w:szCs w:val="32"/>
        </w:rPr>
        <w:t>　境外期货交易场所上市的期货合约、期权合约和衍生品合约，以境内期货交易场所上市的合约价格进行挂钩结算的，应当符合国务院期货监督管理机构的规定。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第一百二十条　</w:t>
      </w:r>
      <w:r>
        <w:rPr>
          <w:rFonts w:hint="eastAsia" w:ascii="方正仿宋_GB2312" w:hAnsi="方正仿宋_GB2312" w:eastAsia="方正仿宋_GB2312" w:cs="方正仿宋_GB2312"/>
          <w:sz w:val="32"/>
          <w:szCs w:val="32"/>
        </w:rPr>
        <w:t>境内单位或者个人从事境外期货交易，应当委托具有境外期货经纪业务资格的境内期货经营机构进行，国务院另有规定的除外。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第一百二十一条</w:t>
      </w:r>
      <w:r>
        <w:rPr>
          <w:rFonts w:hint="eastAsia" w:ascii="方正仿宋_GB2312" w:hAnsi="方正仿宋_GB2312" w:eastAsia="方正仿宋_GB2312" w:cs="方正仿宋_GB2312"/>
          <w:sz w:val="32"/>
          <w:szCs w:val="32"/>
        </w:rPr>
        <w:t>　境外期货交易场所在境内设立代表机构的，应当向国务院期货监督管理机构备案。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境外期货交易场所代表机构及其工作人员，不得从事或者变相从事任何经营活动。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境外机构在境内从事期货市场营销、推介及招揽活动，应当经国务院期货监督管理机构批准，适用本法的相关规定。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境内机构为境外机构在境内从事期货市场营销、推介及招揽活动，应当经国务院期货监督管理机构批准。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任何单位或者个人不得从事违反前两款规定的期货市场营销、推介及招揽活动。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第一百二十三条　</w:t>
      </w:r>
      <w:r>
        <w:rPr>
          <w:rFonts w:hint="eastAsia" w:ascii="方正仿宋_GB2312" w:hAnsi="方正仿宋_GB2312" w:eastAsia="方正仿宋_GB2312" w:cs="方正仿宋_GB2312"/>
          <w:sz w:val="32"/>
          <w:szCs w:val="32"/>
        </w:rPr>
        <w:t>国务院期货监督管理机构可以和境外期货监督管理机构建立监督管理合作机制，或者加入国际组织，实施跨境监督管理。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国务院期货监督管理机构应境外期货监督管理机构请求提供协助的，应当遵循国家法律、法规的规定和对等互惠的原则，不得泄露国家秘密，不得损害国家利益和社会公共利益。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第一百二十四条</w:t>
      </w:r>
      <w:r>
        <w:rPr>
          <w:rFonts w:hint="eastAsia" w:ascii="方正仿宋_GB2312" w:hAnsi="方正仿宋_GB2312" w:eastAsia="方正仿宋_GB2312" w:cs="方正仿宋_GB2312"/>
          <w:sz w:val="32"/>
          <w:szCs w:val="32"/>
        </w:rPr>
        <w:t>　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方当地期货法律法规的行为进行调查。境外期货监督管理机构不得在中华人民共和国境内直接进行调查取证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未经国务院期货监督管理机构和国务院有关主管部门同意，任何单位和个人不得擅自向境外监督管理机构提供与期货业务活动有关的文件和资料。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国务院期货监督管理机构可以依照与境外期货监督管理机构达成的监管合作安排，请求境外期货监督管理机构进行调查取证。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第十二章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操纵市场行为给交易者造成损失的，应当依法承担赔偿责任。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国务院期货监督管理机构、国务院授权的部门、期货交易场所、期货结算机构的工作人员从事内幕交易的，从重处罚。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内幕交易行为给交易者造成损失的，应当依法承担赔偿责任。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违反本法第十六条第二款的规定，在期货交易、衍生品交易活动中作出虚假陈述或者信息误导的，责令改正，处以二十万元以上二百万元以下的罚款；属于国家工作人员的，还应当依法给予处分。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编造、传播有关期货交易、衍生品交易的虚假信息，或者在期货交易、衍生品交易中作出信息误导，给交易者造成损失的，应当依法承担赔偿责任。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第一百二十八条</w:t>
      </w:r>
      <w:r>
        <w:rPr>
          <w:rFonts w:hint="eastAsia" w:ascii="方正仿宋_GB2312" w:hAnsi="方正仿宋_GB2312" w:eastAsia="方正仿宋_GB2312" w:cs="方正仿宋_GB2312"/>
          <w:sz w:val="32"/>
          <w:szCs w:val="32"/>
        </w:rPr>
        <w:t>　违反本法第十八条第二款的规定，出借自己的期货账户或者借用他人的期货账户从事期货交易的，责令改正，给予警告，可以处五十万元以下的罚款。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违反本法第二十一条的规定，采取程序化交易影响期货交易场所系统安全或者正常交易秩序的，责令改正，并处以五十万元以上五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第一百三十条</w:t>
      </w:r>
      <w:r>
        <w:rPr>
          <w:rFonts w:hint="eastAsia" w:ascii="方正仿宋_GB2312" w:hAnsi="方正仿宋_GB2312" w:eastAsia="方正仿宋_GB2312" w:cs="方正仿宋_GB2312"/>
          <w:sz w:val="32"/>
          <w:szCs w:val="32"/>
        </w:rPr>
        <w:t>　违反本法第二十七条规定，未报告有关重大事项的，责令改正，给予警告，可以处一百万元以下的罚款。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第一百三十二条</w:t>
      </w:r>
      <w:r>
        <w:rPr>
          <w:rFonts w:hint="eastAsia" w:ascii="方正仿宋_GB2312" w:hAnsi="方正仿宋_GB2312" w:eastAsia="方正仿宋_GB2312" w:cs="方正仿宋_GB2312"/>
          <w:sz w:val="32"/>
          <w:szCs w:val="32"/>
        </w:rPr>
        <w:t>　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第一百三十三条</w:t>
      </w:r>
      <w:r>
        <w:rPr>
          <w:rFonts w:hint="eastAsia" w:ascii="方正仿宋_GB2312" w:hAnsi="方正仿宋_GB2312" w:eastAsia="方正仿宋_GB2312" w:cs="方正仿宋_GB2312"/>
          <w:sz w:val="32"/>
          <w:szCs w:val="32"/>
        </w:rPr>
        <w:t>　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十万元以上二百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期货经营机构有前款所列违法情形，给交易者造成损失的，应当依法承担赔偿责任。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期货经营机构的主要股东、实际控制人或者其他关联人违反本法第七十一条规定的，依照本条第一款的规定处罚。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第一百三十五条</w:t>
      </w:r>
      <w:r>
        <w:rPr>
          <w:rFonts w:hint="eastAsia" w:ascii="方正仿宋_GB2312" w:hAnsi="方正仿宋_GB2312" w:eastAsia="方正仿宋_GB2312" w:cs="方正仿宋_GB2312"/>
          <w:sz w:val="32"/>
          <w:szCs w:val="32"/>
        </w:rPr>
        <w:t>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期货经营机构有本法第七十八条规定的行为，给交易者造成损失的，应当依法承担赔偿责任。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第一百三十六条</w:t>
      </w:r>
      <w:r>
        <w:rPr>
          <w:rFonts w:hint="eastAsia" w:ascii="方正仿宋_GB2312" w:hAnsi="方正仿宋_GB2312" w:eastAsia="方正仿宋_GB2312" w:cs="方正仿宋_GB2312"/>
          <w:sz w:val="32"/>
          <w:szCs w:val="32"/>
        </w:rPr>
        <w:t>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非法设立期货交易场所的，由县级以上人民政府予以取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违反本法第三十条规定，未经批准组织开展衍生品交易的，或者金融机构违反本法第三十一条规定，未经批准、核准开展衍生品交易的，依照前款规定处罚。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第一百三十七条</w:t>
      </w:r>
      <w:r>
        <w:rPr>
          <w:rFonts w:hint="eastAsia" w:ascii="方正仿宋_GB2312" w:hAnsi="方正仿宋_GB2312" w:eastAsia="方正仿宋_GB2312" w:cs="方正仿宋_GB2312"/>
          <w:sz w:val="32"/>
          <w:szCs w:val="32"/>
        </w:rPr>
        <w:t>　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第一百三十八条</w:t>
      </w:r>
      <w:r>
        <w:rPr>
          <w:rFonts w:hint="eastAsia" w:ascii="方正仿宋_GB2312" w:hAnsi="方正仿宋_GB2312" w:eastAsia="方正仿宋_GB2312" w:cs="方正仿宋_GB2312"/>
          <w:sz w:val="32"/>
          <w:szCs w:val="32"/>
        </w:rPr>
        <w:t>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第一百三十九条　</w:t>
      </w:r>
      <w:r>
        <w:rPr>
          <w:rFonts w:hint="eastAsia" w:ascii="方正仿宋_GB2312" w:hAnsi="方正仿宋_GB2312" w:eastAsia="方正仿宋_GB2312" w:cs="方正仿宋_GB2312"/>
          <w:sz w:val="32"/>
          <w:szCs w:val="32"/>
        </w:rPr>
        <w:t>期货服务机构违反本法第九十八条的规定，从事期货服务业务未按照要求提供相关资料的，责令改正，可以处二十万元以下的罚款。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第一百四十条</w:t>
      </w:r>
      <w:r>
        <w:rPr>
          <w:rFonts w:hint="eastAsia" w:ascii="方正仿宋_GB2312" w:hAnsi="方正仿宋_GB2312" w:eastAsia="方正仿宋_GB2312" w:cs="方正仿宋_GB2312"/>
          <w:sz w:val="32"/>
          <w:szCs w:val="32"/>
        </w:rPr>
        <w:t>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期货服务机构有前款所列违法行为，给他人造成损失的，依法承担赔偿责任。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交割库有本法第一百条所列行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信息技术服务机构违反本法第一百零一条规定未报备案的，责令改正，可以处二十万元以下的罚款。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第一百四十三条　</w:t>
      </w:r>
      <w:r>
        <w:rPr>
          <w:rFonts w:hint="eastAsia" w:ascii="方正仿宋_GB2312" w:hAnsi="方正仿宋_GB2312" w:eastAsia="方正仿宋_GB2312" w:cs="方正仿宋_GB2312"/>
          <w:sz w:val="32"/>
          <w:szCs w:val="32"/>
        </w:rPr>
        <w:t>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第一百四十五条</w:t>
      </w:r>
      <w:r>
        <w:rPr>
          <w:rFonts w:hint="eastAsia" w:ascii="方正仿宋_GB2312" w:hAnsi="方正仿宋_GB2312" w:eastAsia="方正仿宋_GB2312" w:cs="方正仿宋_GB2312"/>
          <w:sz w:val="32"/>
          <w:szCs w:val="32"/>
        </w:rPr>
        <w:t>　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第一百四十六条</w:t>
      </w:r>
      <w:r>
        <w:rPr>
          <w:rFonts w:hint="eastAsia" w:ascii="方正仿宋_GB2312" w:hAnsi="方正仿宋_GB2312" w:eastAsia="方正仿宋_GB2312" w:cs="方正仿宋_GB2312"/>
          <w:sz w:val="32"/>
          <w:szCs w:val="32"/>
        </w:rPr>
        <w:t>　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第一百四十七条</w:t>
      </w:r>
      <w:r>
        <w:rPr>
          <w:rFonts w:hint="eastAsia" w:ascii="方正仿宋_GB2312" w:hAnsi="方正仿宋_GB2312" w:eastAsia="方正仿宋_GB2312" w:cs="方正仿宋_GB2312"/>
          <w:sz w:val="32"/>
          <w:szCs w:val="32"/>
        </w:rPr>
        <w:t>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第一百四十九条</w:t>
      </w:r>
      <w:r>
        <w:rPr>
          <w:rFonts w:hint="eastAsia" w:ascii="方正仿宋_GB2312" w:hAnsi="方正仿宋_GB2312" w:eastAsia="方正仿宋_GB2312" w:cs="方正仿宋_GB2312"/>
          <w:sz w:val="32"/>
          <w:szCs w:val="32"/>
        </w:rPr>
        <w:t>　拒绝、阻碍国务院期货监督管理机构或者国务院授权的部门及其工作人员依法行使监督检查、调查职权的，责令改正，处以十万元以上一百万元以下的罚款，并由公安机关依法给予治安管理处罚。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违反法律、行政法规或者国务院期货监督管理机构的有关规定，情节严重的，国务院期货监督管理机构可以对有关责任人员采取期货市场禁入的措施。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前款所称期货市场禁入，是指在一定期限内直至终身不得进行期货交易、从事期货业务，不得担任期货经营机构、期货交易场所、期货结算机构的董事、监事、高级管理人员或者负责人的制度。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第一百五十一条</w:t>
      </w:r>
      <w:r>
        <w:rPr>
          <w:rFonts w:hint="eastAsia" w:ascii="方正仿宋_GB2312" w:hAnsi="方正仿宋_GB2312" w:eastAsia="方正仿宋_GB2312" w:cs="方正仿宋_GB2312"/>
          <w:sz w:val="32"/>
          <w:szCs w:val="32"/>
        </w:rPr>
        <w:t>　本法规定的行政处罚，由国务院期货监督管理机构、国务院授权的部门按照国务院规定的职责分工作出决定；法律、行政法规另有规定的，适用其规定。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国务院期货监督管理机构或者国务院授权的部门的工作人员，不履行本法规定的职责，滥用职权、玩忽职守，利用职务便利牟取不正当利益，或者泄露所知悉的有关单位和个人的商业秘密的，依法追究法律责任。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第一百五十三条</w:t>
      </w:r>
      <w:r>
        <w:rPr>
          <w:rFonts w:hint="eastAsia" w:ascii="方正仿宋_GB2312" w:hAnsi="方正仿宋_GB2312" w:eastAsia="方正仿宋_GB2312" w:cs="方正仿宋_GB2312"/>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第一百五十四条</w:t>
      </w:r>
      <w:r>
        <w:rPr>
          <w:rFonts w:hint="eastAsia" w:ascii="方正仿宋_GB2312" w:hAnsi="方正仿宋_GB2312" w:eastAsia="方正仿宋_GB2312" w:cs="方正仿宋_GB2312"/>
          <w:sz w:val="32"/>
          <w:szCs w:val="32"/>
        </w:rPr>
        <w:t>　违反本法规定，应当承担民事赔偿责任和缴纳罚款、罚金、违法所得，违法行为人的财产不足以支付的，优先用于承担民事赔偿责任。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第十三章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第一百五十五条</w:t>
      </w:r>
      <w:r>
        <w:rPr>
          <w:rFonts w:hint="eastAsia" w:ascii="方正仿宋_GB2312" w:hAnsi="方正仿宋_GB2312" w:eastAsia="方正仿宋_GB2312" w:cs="方正仿宋_GB2312"/>
          <w:sz w:val="32"/>
          <w:szCs w:val="32"/>
        </w:rPr>
        <w:t>　本法自2022年8月1日起施行。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99E02-2FC4-40F6-851F-E61BCE5A86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1BA25EA5-5102-4D3B-B48D-BA01832AAE88}"/>
  </w:font>
  <w:font w:name="方正楷体_GB2312">
    <w:panose1 w:val="02000000000000000000"/>
    <w:charset w:val="86"/>
    <w:family w:val="auto"/>
    <w:pitch w:val="default"/>
    <w:sig w:usb0="A00002BF" w:usb1="184F6CFA" w:usb2="00000012" w:usb3="00000000" w:csb0="00040001" w:csb1="00000000"/>
    <w:embedRegular r:id="rId3" w:fontKey="{DB6F4E06-4285-4E50-B156-5B65B8791A55}"/>
  </w:font>
  <w:font w:name="方正小标宋简体">
    <w:panose1 w:val="02000000000000000000"/>
    <w:charset w:val="86"/>
    <w:family w:val="auto"/>
    <w:pitch w:val="default"/>
    <w:sig w:usb0="00000001" w:usb1="08000000" w:usb2="00000000" w:usb3="00000000" w:csb0="00040000" w:csb1="00000000"/>
    <w:embedRegular r:id="rId4" w:fontKey="{12B5DDC3-50DF-438C-A707-2EAAA3467A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2EAC4C1C"/>
    <w:rsid w:val="2EAC4C1C"/>
    <w:rsid w:val="3B39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22339</Words>
  <Characters>22342</Characters>
  <Lines>0</Lines>
  <Paragraphs>0</Paragraphs>
  <TotalTime>11</TotalTime>
  <ScaleCrop>false</ScaleCrop>
  <LinksUpToDate>false</LinksUpToDate>
  <CharactersWithSpaces>22517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2023-09-28T12:56:00Z</dcterms:created>
  <dc:creator>fluoxetine</dc:creator>
  <cp:lastModifiedBy>qwerd</cp:lastModifiedBy>
  <dcterms:modified xsi:type="dcterms:W3CDTF">2023-09-30T09:13:11Z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C31D83ABF06D4F5D9B092EBEDF7F0185_11</vt:lpwstr>
  </property>
</Properties>
</file>