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中华人民共和国船舶吨税法</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ind w:firstLine="977" w:firstLineChars="304"/>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自中华人民共和国境外港口进入境内港口的船舶（以下称应税船舶），应当依照本法缴纳船舶吨税（以下简称吨税）。</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吨税的税目、税率依照本法所附的《吨税税目税率表》执行。</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吨税设置优惠税率和普通税率。</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中华人民共和国籍的应税船舶，船籍国（地区）与中华人民共和国签订含有相互给予船舶税费最惠国待遇条款的条约或者协定的应税船舶，适用优惠税率。</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其他应税船舶，适用普通税率。</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吨税按照船舶净吨位和吨税执照期限征收。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应税船舶负责人在每次申报纳税时，可以按照《吨税税目税率表》选择申领一种期限的吨税执照。</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吨税的应纳税额按照船舶净吨位乘以适用税率计算。</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　</w:t>
      </w:r>
      <w:r>
        <w:rPr>
          <w:rFonts w:hint="eastAsia" w:ascii="仿宋" w:hAnsi="仿宋" w:eastAsia="仿宋" w:cs="仿宋"/>
          <w:sz w:val="32"/>
          <w:szCs w:val="32"/>
        </w:rPr>
        <w:t>吨税由海关负责征收。海关征收吨税应当制发缴款凭证。</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应税船舶负责人缴纳吨税或者提供担保后，海关按照其申领的执照期限填发吨税执照。</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应税船舶在进入港口办理入境手续时，应当向海关申报纳税领取吨税执照，或者交验吨税执照（或者申请核验吨税执照电子信息）。应税船舶在离开港口办理出境手续时，应当交验吨税执照（或者申请核验吨税执照电子信息）。</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应税船舶负责人申领吨税执照时，应当向海关提供下列文件：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（一）船舶国籍证书或者海事部门签发的船舶国籍证书收存证明；</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（二）船舶吨位证明。</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应税船舶因不可抗力在未设立海关地点停泊的，船舶负责人应当立即向附近海关报告，并在不可抗力原因消除后，依照本法规定向海关申报纳税。</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吨税纳税义务发生时间为应税船舶进入港口的当日。</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应税船舶在吨税执照期满后尚未离开港口的，应当申领新的吨税执照，自上一次执照期满的次日起续缴吨税。</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下列船舶免征吨税：</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（一）应纳税额在人民币五十元以下的船舶；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（二）自境外以购买、受赠、继承等方式取得船舶所有权的初次进口到港的空载船舶；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（三）吨税执照期满后二十四小时内不上下客货的船舶；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（四）非机动船舶（不包括非机动驳船）；</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（五）捕捞、养殖渔船；</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（六）避难、防疫隔离、修理、改造、终止运营或者拆解，并不上下客货的船舶；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（七）军队、武装警察部队专用或者征用的船舶；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（八）警用船舶；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（九）依照法律规定应当予以免税的外国驻华使领馆、国际组织驻华代表机构及其有关人员的船舶；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（十）国务院规定的其他船舶。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前款第十项免税规定，由国务院报全国人民代表大会常务委员会备案。</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在吨税执照期限内，应税船舶发生下列情形之一的，海关按照实际发生的天数批注延长吨税执照期限：</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（一）避难、防疫隔离、修理、改造，并不上下客货；</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（二）军队、武装警察部队征用。</w:t>
      </w:r>
    </w:p>
    <w:p>
      <w:pPr>
        <w:ind w:firstLine="430"/>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第十一条</w:t>
      </w:r>
      <w:r>
        <w:rPr>
          <w:rFonts w:hint="eastAsia" w:ascii="仿宋" w:hAnsi="仿宋" w:eastAsia="仿宋" w:cs="仿宋"/>
          <w:sz w:val="32"/>
          <w:szCs w:val="32"/>
        </w:rPr>
        <w:t>　符合本法第九条第一款第五项至第九项、第十条规定的船舶，应当提供海事部门、渔业船舶管理部门等部门、机构出具的具有法律效力的证明文件或者使用关系证明文件，申明免税或者延长吨税执照期限的依据和理由。</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应税船舶负责人应当自海关填发吨税缴款凭证之日起十五日内缴清税款。未按期缴清税款的，自滞纳税款之日起至缴清税款之日止，按日加收滞纳税款万分之五的税款滞纳金。</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应税船舶到达港口前，经海关核准先行申报并办结出入境手续的，应税船舶负责人应当向海关提供与其依法履行吨税缴纳义务相适应的担保；应税船舶到达港口后，依照本法规定向海关申报纳税。</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下列财产、权利可以用于担保：</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（一）人民币、可自由兑换货币；</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（二）汇票、本票、支票、债券、存单；</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（三）银行、非银行金融机构的保函；</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（四）海关依法认可的其他财产、权利。</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应税船舶在吨税执照期限内，因修理、改造导致净吨位变化的，吨税执照继续有效。应税船舶办理出入境手续时，应当提供船舶经过修理、改造的证明文件。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应税船舶在吨税执照期限内，因税目税率调整或者船籍改变而导致适用税率变化的，吨税执照继续有效。</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因船籍改变而导致适用税率变化的，应税船舶在办理出入境手续时，应当提供船籍改变的证明文件。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吨税执照在期满前毁损或者遗失的，应当向原发照海关书面申请核发吨税执照副本，不再补税。</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海关发现少征或者漏征税款的，应当自应税船舶应当缴纳税款之日起一年内，补征税款。但因应税船舶违反规定造成少征或者漏征税款的，海关可以自应当缴纳税款之日起三年内追征税款，并自应当缴纳税款之日起按日加征少征或者漏征税款万分之五的税款滞纳金。</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海关发现多征税款的，应当在二十四小时内通知应税船舶办理退还手续，并加算银行同期活期存款利息。</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应税船舶发现多缴税款的，可以自缴纳税款之日起三年内以书面形式要求海关退还多缴的税款并加算银行同期活期存款利息；海关应当自受理退税申请之日起三十日内查实并通知应税船舶办理退还手续。</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应税船舶应当自收到本条第二款、第三款规定的通知之日起三个月内办理有关退还手续。</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应税船舶有下列行为之一的，由海关责令限期改正，处二千元以上三万元以下的罚款；不缴或者少缴应纳税款的，处不缴或者少缴税款百分之五十以上五倍以下的罚款，但罚款不得低于二千元：</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（一）未按照规定申报纳税、领取吨税执照；</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（二）未按照规定交验吨税执照（或者申请核验吨税执照电子信息）以及提供其他证明文件。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吨税税款、税款滞纳金、罚款以人民币计算。</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　</w:t>
      </w:r>
      <w:r>
        <w:rPr>
          <w:rFonts w:hint="eastAsia" w:ascii="仿宋" w:hAnsi="仿宋" w:eastAsia="仿宋" w:cs="仿宋"/>
          <w:sz w:val="32"/>
          <w:szCs w:val="32"/>
        </w:rPr>
        <w:t>吨税的征收，本法未作规定的，依照有关税收征收管理的法律、行政法规的规定执行。</w:t>
      </w:r>
    </w:p>
    <w:p>
      <w:pPr>
        <w:ind w:firstLine="430"/>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第二十一条</w:t>
      </w:r>
      <w:r>
        <w:rPr>
          <w:rFonts w:hint="eastAsia" w:ascii="仿宋" w:hAnsi="仿宋" w:eastAsia="仿宋" w:cs="仿宋"/>
          <w:sz w:val="32"/>
          <w:szCs w:val="32"/>
        </w:rPr>
        <w:t>　本法及所附《吨税税目税率表》下列用语的含义：</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净吨位，是指由船籍国（地区）政府签发或者授权签发的船舶吨位证明书上标明的净吨位。</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非机动船舶，是指自身没有动力装置，依靠外力驱动的船舶。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非机动驳船，是指在船舶登记机关登记为驳船的非机动船舶。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捕捞、养殖渔船，是指在中华人民共和国渔业船舶管理部门登记为捕捞船或者养殖船的船舶。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拖船，是指专门用于拖（推）动运输船舶的专业作业船舶。</w:t>
      </w:r>
    </w:p>
    <w:p>
      <w:pPr>
        <w:ind w:firstLine="430"/>
        <w:rPr>
          <w:rFonts w:hint="eastAsia" w:ascii="仿宋" w:hAnsi="仿宋" w:eastAsia="仿宋" w:cs="仿宋"/>
          <w:sz w:val="32"/>
          <w:szCs w:val="32"/>
          <w:lang w:eastAsia="zh-CN"/>
        </w:rPr>
      </w:pPr>
      <w:r>
        <w:rPr>
          <w:rFonts w:hint="eastAsia" w:ascii="仿宋" w:hAnsi="仿宋" w:eastAsia="仿宋" w:cs="仿宋"/>
          <w:sz w:val="32"/>
          <w:szCs w:val="32"/>
        </w:rPr>
        <w:t xml:space="preserve">    吨税执照期限，是指按照公历年、日计算的期间。</w:t>
      </w:r>
    </w:p>
    <w:p>
      <w:pPr>
        <w:ind w:firstLine="430"/>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本法自2018年7月1日起施行。2011年12月5日国务院公布的《中华人民共和国船舶吨税暂行条例》同时废止。</w:t>
      </w:r>
      <w:bookmarkStart w:id="0" w:name="_GoBack"/>
      <w:bookmarkEnd w:id="0"/>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4278B4"/>
    <w:rsid w:val="004278B4"/>
    <w:rsid w:val="005D1CAD"/>
    <w:rsid w:val="00F60206"/>
    <w:rsid w:val="19DC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473</Words>
  <Characters>2699</Characters>
  <Lines>22</Lines>
  <Paragraphs>6</Paragraphs>
  <TotalTime>13</TotalTime>
  <ScaleCrop>false</ScaleCrop>
  <LinksUpToDate>false</LinksUpToDate>
  <CharactersWithSpaces>3166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2023-09-29T11:48:00Z</dcterms:created>
  <dc:creator>ASUS</dc:creator>
  <cp:lastModifiedBy>fluoxetine</cp:lastModifiedBy>
  <dcterms:modified xsi:type="dcterms:W3CDTF">2023-10-07T13:24:37Z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3E3D8799B7784FBF90C49454938448FF_12</vt:lpwstr>
  </property>
</Properties>
</file>