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snapToGrid w:val="0"/>
          <w:color w:val="000000"/>
          <w:kern w:val="44"/>
          <w:sz w:val="36"/>
          <w:szCs w:val="36"/>
          <w:lang w:val="en-US" w:eastAsia="zh-CN" w:bidi="ar-SA"/>
        </w:rPr>
      </w:pPr>
      <w:r>
        <w:rPr>
          <w:rFonts w:hint="eastAsia" w:ascii="仿宋" w:hAnsi="仿宋" w:eastAsia="仿宋" w:cs="仿宋"/>
          <w:b/>
          <w:bCs/>
          <w:snapToGrid w:val="0"/>
          <w:color w:val="000000"/>
          <w:kern w:val="44"/>
          <w:sz w:val="36"/>
          <w:szCs w:val="36"/>
          <w:lang w:val="en-US" w:eastAsia="zh-CN" w:bidi="ar-SA"/>
        </w:rPr>
        <w:t>智慧健康养老服务与管理专业设置论证报告</w:t>
      </w:r>
    </w:p>
    <w:p>
      <w:pPr>
        <w:spacing w:line="360" w:lineRule="auto"/>
        <w:jc w:val="both"/>
        <w:rPr>
          <w:rStyle w:val="9"/>
          <w:rFonts w:hint="eastAsia" w:ascii="仿宋" w:hAnsi="仿宋" w:eastAsia="仿宋" w:cs="仿宋"/>
          <w:b w:val="0"/>
          <w:bCs/>
          <w:i w:val="0"/>
          <w:iCs w:val="0"/>
          <w:caps w:val="0"/>
          <w:spacing w:val="17"/>
          <w:sz w:val="24"/>
          <w:szCs w:val="24"/>
          <w:shd w:val="clear" w:fill="FFFFFF"/>
          <w:lang w:val="en-US" w:eastAsia="zh-CN"/>
        </w:rPr>
      </w:pP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一、专业背景与需求</w:t>
      </w:r>
    </w:p>
    <w:p>
      <w:pPr>
        <w:spacing w:line="360" w:lineRule="auto"/>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随着社会</w:t>
      </w:r>
      <w:bookmarkStart w:id="0" w:name="_GoBack"/>
      <w:bookmarkEnd w:id="0"/>
      <w:r>
        <w:rPr>
          <w:rStyle w:val="9"/>
          <w:rFonts w:hint="eastAsia" w:ascii="仿宋" w:hAnsi="仿宋" w:eastAsia="仿宋" w:cs="仿宋"/>
          <w:b w:val="0"/>
          <w:bCs/>
          <w:i w:val="0"/>
          <w:iCs w:val="0"/>
          <w:caps w:val="0"/>
          <w:spacing w:val="17"/>
          <w:sz w:val="24"/>
          <w:szCs w:val="24"/>
          <w:shd w:val="clear" w:fill="FFFFFF"/>
          <w:lang w:val="en-US" w:eastAsia="zh-CN"/>
        </w:rPr>
        <w:t>老龄化趋势加剧，智慧健康养老服务逐渐成为人们关注的焦点。智慧健康养老服务是将现代科技、医疗健康和养老服务相结合，为老年人提供全方位、智能化、个性化服务的新型养老服务模式。为了满足社会对于智慧健康养老服务人才的需求，本专业应运而生。</w:t>
      </w:r>
    </w:p>
    <w:p>
      <w:pPr>
        <w:spacing w:line="360" w:lineRule="auto"/>
        <w:ind w:left="0" w:leftChars="0" w:firstLine="0" w:firstLineChars="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二、培养目标与定位</w:t>
      </w:r>
    </w:p>
    <w:p>
      <w:pPr>
        <w:spacing w:line="360" w:lineRule="auto"/>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本专业的培养目标是培养具备智慧健康养老服务与管理基础知识、基本理论和基本技能，具有较强的实践能力、创新能力和职业素养，能够在智慧健康养老服务领域从事管理、咨询、服务和研发等方面工作的高素质应用型人才。本专业的定位是面向智慧健康养老服务与管理领域，注重理论与实践相结合，突出实用性和可操作性，强调学生的综合素质和创新能力的培养。</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三、课程设置与特色</w:t>
      </w:r>
    </w:p>
    <w:p>
      <w:pPr>
        <w:spacing w:line="360" w:lineRule="auto"/>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本专业的课程设置主要包括智慧健康养老服务、老年生理与心理、老年社会与文化、养老机构运营与管理、智慧健康技术应用等方面。其中，智慧健康养老服务是本专业的核心课程，主要涵盖老年人健康管理、智能化照护服务、养老机构信息化等方面的内容；老年生理与心理课程主要涉及老年人身体机能的衰退和心理变化的特点及应对方法；老年社会与文化课程主要介绍老年人的</w:t>
      </w:r>
      <w:r>
        <w:rPr>
          <w:rStyle w:val="9"/>
          <w:rFonts w:hint="eastAsia" w:ascii="仿宋" w:hAnsi="仿宋" w:eastAsia="仿宋" w:cs="仿宋"/>
          <w:b w:val="0"/>
          <w:bCs/>
          <w:i w:val="0"/>
          <w:iCs w:val="0"/>
          <w:caps w:val="0"/>
          <w:spacing w:val="17"/>
          <w:sz w:val="24"/>
          <w:szCs w:val="24"/>
          <w:shd w:val="clear" w:fill="FFFFFF"/>
          <w:lang w:val="en-US" w:eastAsia="zh-CN"/>
        </w:rPr>
        <w:t>社会交往</w:t>
      </w:r>
      <w:r>
        <w:rPr>
          <w:rStyle w:val="9"/>
          <w:rFonts w:hint="eastAsia" w:ascii="仿宋" w:hAnsi="仿宋" w:eastAsia="仿宋" w:cs="仿宋"/>
          <w:b w:val="0"/>
          <w:bCs/>
          <w:i w:val="0"/>
          <w:iCs w:val="0"/>
          <w:caps w:val="0"/>
          <w:spacing w:val="17"/>
          <w:sz w:val="24"/>
          <w:szCs w:val="24"/>
          <w:shd w:val="clear" w:fill="FFFFFF"/>
          <w:lang w:val="en-US" w:eastAsia="zh-CN"/>
        </w:rPr>
        <w:t>、文化娱乐等方面的需求及相应的服务提供；养老机构运营与管理课程着重于培养学生对于养老机构的运营管理能力和老年人服务的质量监控能力；智慧健康技术应用课程主要让学生掌握智能化照护技术、远程医疗技术等在养老服务中的应用。本专业的课程设置注重理论与实践相结合，突出实用性和可操作性，同时强调学生的综合素质和创新能力的培养。</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四、实践教学与资源</w:t>
      </w:r>
    </w:p>
    <w:p>
      <w:pPr>
        <w:spacing w:line="360" w:lineRule="auto"/>
        <w:ind w:left="0" w:leftChars="0" w:firstLine="548" w:firstLineChars="20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本专业注重实践教学，通过建立实践教学基地和开展实践教学活动等多种形式，培养学生的实践能力和创新精神。本专业将积极与企业、养老机构等合作，建立校外实践教学基地，为学生提供实习和就业机会；同时还将开展多种形式的校内实践活动，如智慧健康养老服务技能大赛、创新创业项目等，培养学生的实践能力和创新精神。此外，本专业还将充分利用现代化信息技术手段，如虚拟仿真实验室等，为学生提供更加便捷的实践学习条件。</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五、教师团队与教学能力</w:t>
      </w:r>
    </w:p>
    <w:p>
      <w:pPr>
        <w:spacing w:line="360" w:lineRule="auto"/>
        <w:ind w:left="0" w:leftChars="0" w:firstLine="548" w:firstLineChars="20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本专业拥有一支高素质的教师团队，其中大部分教师具有硕士或博士学位，且多名教师具有相关领域的实践经验。本专业还将积极引进优秀人才，不断优化教师队伍结构。在教学方法方面，本专业注重启发式教学和案例教学等多种教学方法的运用，强调师生互动和学生自主学习，激发学生的学习兴趣和积极性。</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六、发展前景与就业方向</w:t>
      </w:r>
    </w:p>
    <w:p>
      <w:pPr>
        <w:spacing w:line="360" w:lineRule="auto"/>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随着老龄化趋势的加剧和智慧健康养老服务的快速发展，本专业的发展前景十分广阔。学生毕业后可以在智慧健康养老服务领域从事管理、咨询、服务和研发等方面的工作。具体就业方向可以包括：养老机构管理、老年健康管理、智慧养老系统开发与维护、医疗器械研发与销售等方面的工作。</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七、教学质量保障与监控</w:t>
      </w:r>
    </w:p>
    <w:p>
      <w:pPr>
        <w:spacing w:line="360" w:lineRule="auto"/>
        <w:ind w:left="0" w:leftChars="0" w:firstLine="548" w:firstLineChars="20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本专业将建立健全教学质量保障与监控体系，通过制定教学计划、建立教学督导机制、开展学生评教和教师评教等方式，保障教学质量和效果。同时还将建立毕业生跟踪调查机制，及时了解毕业生的就业情况和用人单位的反馈意见，为进一步优化人才培养方案提供参考。</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八、问题与对策</w:t>
      </w:r>
    </w:p>
    <w:p>
      <w:pPr>
        <w:spacing w:line="360" w:lineRule="auto"/>
        <w:ind w:left="0" w:leftChars="0" w:firstLine="548" w:firstLineChars="20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在专业设置论证过程中，我们发现当前本专业还存在一些问题，如师资力量不足、实践教学条件有限等。为了解决这些问题，我们将采取以下对策：</w:t>
      </w:r>
      <w:r>
        <w:rPr>
          <w:rStyle w:val="9"/>
          <w:rFonts w:hint="eastAsia" w:ascii="仿宋" w:hAnsi="仿宋" w:eastAsia="仿宋" w:cs="仿宋"/>
          <w:b w:val="0"/>
          <w:bCs/>
          <w:i w:val="0"/>
          <w:iCs w:val="0"/>
          <w:caps w:val="0"/>
          <w:spacing w:val="17"/>
          <w:sz w:val="24"/>
          <w:szCs w:val="24"/>
          <w:shd w:val="clear" w:fill="FFFFFF"/>
          <w:lang w:val="en-US" w:eastAsia="zh-CN"/>
        </w:rPr>
        <w:t>加大</w:t>
      </w:r>
      <w:r>
        <w:rPr>
          <w:rStyle w:val="9"/>
          <w:rFonts w:hint="eastAsia" w:ascii="仿宋" w:hAnsi="仿宋" w:eastAsia="仿宋" w:cs="仿宋"/>
          <w:b w:val="0"/>
          <w:bCs/>
          <w:i w:val="0"/>
          <w:iCs w:val="0"/>
          <w:caps w:val="0"/>
          <w:spacing w:val="17"/>
          <w:sz w:val="24"/>
          <w:szCs w:val="24"/>
          <w:shd w:val="clear" w:fill="FFFFFF"/>
          <w:lang w:val="en-US" w:eastAsia="zh-CN"/>
        </w:rPr>
        <w:t>师资引进和培养力度，提高教师的专业素养和实践能力；加大实践教学投入力度，完善实践教学条件；加强与企业、养老机构的合作，为学生提供更多的实践机会。</w:t>
      </w:r>
    </w:p>
    <w:p>
      <w:pPr>
        <w:spacing w:line="360" w:lineRule="auto"/>
        <w:ind w:left="0" w:leftChars="0" w:firstLine="0" w:firstLineChars="0"/>
        <w:jc w:val="both"/>
        <w:rPr>
          <w:rStyle w:val="9"/>
          <w:rFonts w:hint="eastAsia" w:ascii="仿宋" w:hAnsi="仿宋" w:eastAsia="仿宋" w:cs="仿宋"/>
          <w:b/>
          <w:bCs w:val="0"/>
          <w:i w:val="0"/>
          <w:iCs w:val="0"/>
          <w:caps w:val="0"/>
          <w:spacing w:val="17"/>
          <w:sz w:val="24"/>
          <w:szCs w:val="24"/>
          <w:shd w:val="clear" w:fill="FFFFFF"/>
          <w:lang w:val="en-US" w:eastAsia="zh-CN"/>
        </w:rPr>
      </w:pPr>
      <w:r>
        <w:rPr>
          <w:rStyle w:val="9"/>
          <w:rFonts w:hint="eastAsia" w:ascii="仿宋" w:hAnsi="仿宋" w:eastAsia="仿宋" w:cs="仿宋"/>
          <w:b/>
          <w:bCs w:val="0"/>
          <w:i w:val="0"/>
          <w:iCs w:val="0"/>
          <w:caps w:val="0"/>
          <w:spacing w:val="17"/>
          <w:sz w:val="24"/>
          <w:szCs w:val="24"/>
          <w:shd w:val="clear" w:fill="FFFFFF"/>
          <w:lang w:val="en-US" w:eastAsia="zh-CN"/>
        </w:rPr>
        <w:t>九、结论与建议</w:t>
      </w:r>
    </w:p>
    <w:p>
      <w:pPr>
        <w:spacing w:line="360" w:lineRule="auto"/>
        <w:ind w:left="0" w:leftChars="0" w:firstLine="548" w:firstLineChars="20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综上所述，本专业的设置论证报告通过对于专业背景与需求、培养目标与定位、课程设置与特色、实践教学与资源、教师团队与教学能力、发展前景与就业方向、教学质量保障与监控、问题与对策等方面的详细阐述，得出结论如下：本专业的设置是必要的和可行的，符合社会需求和学生职业发展的需要；同时本专业的培养目标定位明确，课程设置合理，实践教学条件优越，教师团队实力较强，教学质量有保障；未来发展前景广阔，可以为智慧健康养老服务领域输送高素质的应用型人才。</w:t>
      </w:r>
    </w:p>
    <w:p>
      <w:pPr>
        <w:spacing w:line="360" w:lineRule="auto"/>
        <w:ind w:left="0" w:leftChars="0" w:firstLine="548" w:firstLineChars="200"/>
        <w:jc w:val="both"/>
        <w:rPr>
          <w:rStyle w:val="9"/>
          <w:rFonts w:hint="eastAsia" w:ascii="仿宋" w:hAnsi="仿宋" w:eastAsia="仿宋" w:cs="仿宋"/>
          <w:b w:val="0"/>
          <w:bCs/>
          <w:i w:val="0"/>
          <w:iCs w:val="0"/>
          <w:caps w:val="0"/>
          <w:spacing w:val="17"/>
          <w:sz w:val="24"/>
          <w:szCs w:val="24"/>
          <w:shd w:val="clear" w:fill="FFFFFF"/>
          <w:lang w:val="en-US" w:eastAsia="zh-CN"/>
        </w:rPr>
      </w:pPr>
      <w:r>
        <w:rPr>
          <w:rStyle w:val="9"/>
          <w:rFonts w:hint="eastAsia" w:ascii="仿宋" w:hAnsi="仿宋" w:eastAsia="仿宋" w:cs="仿宋"/>
          <w:b w:val="0"/>
          <w:bCs/>
          <w:i w:val="0"/>
          <w:iCs w:val="0"/>
          <w:caps w:val="0"/>
          <w:spacing w:val="17"/>
          <w:sz w:val="24"/>
          <w:szCs w:val="24"/>
          <w:shd w:val="clear" w:fill="FFFFFF"/>
          <w:lang w:val="en-US" w:eastAsia="zh-CN"/>
        </w:rPr>
        <w:t>针对本专业的设置与发展，建议如下：一是进一步完善人才培养方案，优化课程设置和教学内容，提高教学质量；二是加强实践教学环节，加强校内外实践基地建设，</w:t>
      </w:r>
      <w:r>
        <w:rPr>
          <w:rStyle w:val="9"/>
          <w:rFonts w:hint="eastAsia" w:ascii="仿宋" w:hAnsi="仿宋" w:eastAsia="仿宋" w:cs="仿宋"/>
          <w:b w:val="0"/>
          <w:bCs/>
          <w:i w:val="0"/>
          <w:iCs w:val="0"/>
          <w:caps w:val="0"/>
          <w:spacing w:val="17"/>
          <w:sz w:val="24"/>
          <w:szCs w:val="24"/>
          <w:shd w:val="clear" w:fill="FFFFFF"/>
          <w:lang w:val="en-US" w:eastAsia="zh-CN"/>
        </w:rPr>
        <w:t>增强</w:t>
      </w:r>
      <w:r>
        <w:rPr>
          <w:rStyle w:val="9"/>
          <w:rFonts w:hint="eastAsia" w:ascii="仿宋" w:hAnsi="仿宋" w:eastAsia="仿宋" w:cs="仿宋"/>
          <w:b w:val="0"/>
          <w:bCs/>
          <w:i w:val="0"/>
          <w:iCs w:val="0"/>
          <w:caps w:val="0"/>
          <w:spacing w:val="17"/>
          <w:sz w:val="24"/>
          <w:szCs w:val="24"/>
          <w:shd w:val="clear" w:fill="FFFFFF"/>
          <w:lang w:val="en-US" w:eastAsia="zh-CN"/>
        </w:rPr>
        <w:t>学生的实践能力和创新意识；三是加强教师队伍建设，提高教师的整体素质和教学能力；四是加强教学质量监控和毕业生跟踪调查工作，不断改进人才培养方案。</w:t>
      </w:r>
    </w:p>
    <w:p>
      <w:pPr>
        <w:spacing w:line="360" w:lineRule="auto"/>
        <w:ind w:firstLine="480" w:firstLineChars="200"/>
        <w:rPr>
          <w:rFonts w:hint="eastAsia" w:ascii="仿宋" w:hAnsi="仿宋" w:eastAsia="仿宋" w:cs="仿宋"/>
          <w:color w:val="181818"/>
          <w:kern w:val="0"/>
          <w:sz w:val="24"/>
          <w:szCs w:val="24"/>
        </w:rPr>
      </w:pPr>
    </w:p>
    <w:p>
      <w:pPr>
        <w:spacing w:line="360" w:lineRule="auto"/>
        <w:ind w:firstLine="480" w:firstLineChars="200"/>
        <w:rPr>
          <w:rFonts w:hint="eastAsia" w:ascii="仿宋" w:hAnsi="仿宋" w:eastAsia="仿宋" w:cs="仿宋"/>
          <w:color w:val="181818"/>
          <w:kern w:val="0"/>
          <w:sz w:val="24"/>
          <w:szCs w:val="24"/>
        </w:rPr>
      </w:pPr>
      <w:r>
        <w:rPr>
          <w:rFonts w:hint="eastAsia" w:ascii="仿宋" w:hAnsi="仿宋" w:eastAsia="仿宋" w:cs="仿宋"/>
          <w:color w:val="181818"/>
          <w:kern w:val="0"/>
          <w:sz w:val="24"/>
          <w:szCs w:val="24"/>
        </w:rPr>
        <w:t>20</w:t>
      </w:r>
      <w:r>
        <w:rPr>
          <w:rFonts w:hint="eastAsia" w:ascii="仿宋" w:hAnsi="仿宋" w:eastAsia="仿宋" w:cs="仿宋"/>
          <w:color w:val="181818"/>
          <w:kern w:val="0"/>
          <w:sz w:val="24"/>
          <w:szCs w:val="24"/>
          <w:lang w:val="en-US" w:eastAsia="zh-CN"/>
        </w:rPr>
        <w:t>20</w:t>
      </w:r>
      <w:r>
        <w:rPr>
          <w:rFonts w:hint="eastAsia" w:ascii="仿宋" w:hAnsi="仿宋" w:eastAsia="仿宋" w:cs="仿宋"/>
          <w:color w:val="181818"/>
          <w:kern w:val="0"/>
          <w:sz w:val="24"/>
          <w:szCs w:val="24"/>
        </w:rPr>
        <w:t>年</w:t>
      </w:r>
      <w:r>
        <w:rPr>
          <w:rFonts w:hint="eastAsia" w:ascii="仿宋" w:hAnsi="仿宋" w:eastAsia="仿宋" w:cs="仿宋"/>
          <w:color w:val="181818"/>
          <w:kern w:val="0"/>
          <w:sz w:val="24"/>
          <w:szCs w:val="24"/>
          <w:lang w:val="en-US" w:eastAsia="zh-CN"/>
        </w:rPr>
        <w:t>3</w:t>
      </w:r>
      <w:r>
        <w:rPr>
          <w:rFonts w:hint="eastAsia" w:ascii="仿宋" w:hAnsi="仿宋" w:eastAsia="仿宋" w:cs="仿宋"/>
          <w:color w:val="181818"/>
          <w:kern w:val="0"/>
          <w:sz w:val="24"/>
          <w:szCs w:val="24"/>
        </w:rPr>
        <w:t>月10日，</w:t>
      </w:r>
      <w:r>
        <w:rPr>
          <w:rFonts w:hint="eastAsia" w:ascii="仿宋" w:hAnsi="仿宋" w:eastAsia="仿宋" w:cs="仿宋"/>
          <w:color w:val="181818"/>
          <w:kern w:val="0"/>
          <w:sz w:val="24"/>
          <w:szCs w:val="24"/>
          <w:lang w:eastAsia="zh-CN"/>
        </w:rPr>
        <w:t>健康管理与促进系</w:t>
      </w:r>
      <w:r>
        <w:rPr>
          <w:rFonts w:hint="eastAsia" w:ascii="仿宋" w:hAnsi="仿宋" w:eastAsia="仿宋" w:cs="仿宋"/>
          <w:color w:val="181818"/>
          <w:kern w:val="0"/>
          <w:sz w:val="24"/>
          <w:szCs w:val="24"/>
        </w:rPr>
        <w:t>邀请</w:t>
      </w:r>
      <w:r>
        <w:rPr>
          <w:rFonts w:hint="eastAsia" w:ascii="仿宋" w:hAnsi="仿宋" w:eastAsia="仿宋" w:cs="仿宋"/>
          <w:color w:val="181818"/>
          <w:kern w:val="0"/>
          <w:sz w:val="24"/>
          <w:szCs w:val="24"/>
          <w:lang w:eastAsia="zh-CN"/>
        </w:rPr>
        <w:t>学院</w:t>
      </w:r>
      <w:r>
        <w:rPr>
          <w:rFonts w:hint="eastAsia" w:ascii="仿宋" w:hAnsi="仿宋" w:eastAsia="仿宋" w:cs="仿宋"/>
          <w:color w:val="181818"/>
          <w:kern w:val="0"/>
          <w:sz w:val="24"/>
          <w:szCs w:val="24"/>
        </w:rPr>
        <w:t>及省内行业</w:t>
      </w:r>
      <w:r>
        <w:rPr>
          <w:rFonts w:hint="eastAsia" w:ascii="仿宋" w:hAnsi="仿宋" w:eastAsia="仿宋" w:cs="仿宋"/>
          <w:color w:val="181818"/>
          <w:kern w:val="0"/>
          <w:sz w:val="24"/>
          <w:szCs w:val="24"/>
          <w:lang w:eastAsia="zh-CN"/>
        </w:rPr>
        <w:t>企业</w:t>
      </w:r>
      <w:r>
        <w:rPr>
          <w:rFonts w:hint="eastAsia" w:ascii="仿宋" w:hAnsi="仿宋" w:eastAsia="仿宋" w:cs="仿宋"/>
          <w:color w:val="181818"/>
          <w:kern w:val="0"/>
          <w:sz w:val="24"/>
          <w:szCs w:val="24"/>
        </w:rPr>
        <w:t>专家组成论证小组，对拟新增专业</w:t>
      </w:r>
      <w:r>
        <w:rPr>
          <w:rFonts w:hint="eastAsia" w:ascii="仿宋" w:hAnsi="仿宋" w:eastAsia="仿宋" w:cs="仿宋"/>
          <w:color w:val="181818"/>
          <w:kern w:val="0"/>
          <w:sz w:val="24"/>
          <w:szCs w:val="24"/>
          <w:lang w:eastAsia="zh-CN"/>
        </w:rPr>
        <w:t>老年人服务与管理专业</w:t>
      </w:r>
      <w:r>
        <w:rPr>
          <w:rFonts w:hint="eastAsia" w:ascii="仿宋" w:hAnsi="仿宋" w:eastAsia="仿宋" w:cs="仿宋"/>
          <w:color w:val="181818"/>
          <w:kern w:val="0"/>
          <w:sz w:val="24"/>
          <w:szCs w:val="24"/>
        </w:rPr>
        <w:t>进行了论证。论证小组听取了专业负责人</w:t>
      </w:r>
      <w:r>
        <w:rPr>
          <w:rFonts w:hint="eastAsia" w:ascii="仿宋" w:hAnsi="仿宋" w:eastAsia="仿宋" w:cs="仿宋"/>
          <w:color w:val="181818"/>
          <w:kern w:val="0"/>
          <w:sz w:val="24"/>
          <w:szCs w:val="24"/>
        </w:rPr>
        <w:t>汇报</w:t>
      </w:r>
      <w:r>
        <w:rPr>
          <w:rFonts w:hint="eastAsia" w:ascii="仿宋" w:hAnsi="仿宋" w:eastAsia="仿宋" w:cs="仿宋"/>
          <w:color w:val="181818"/>
          <w:kern w:val="0"/>
          <w:sz w:val="24"/>
          <w:szCs w:val="24"/>
        </w:rPr>
        <w:t>，包括</w:t>
      </w:r>
      <w:r>
        <w:rPr>
          <w:rFonts w:hint="eastAsia" w:ascii="仿宋" w:hAnsi="仿宋" w:eastAsia="仿宋" w:cs="仿宋"/>
          <w:color w:val="181818"/>
          <w:kern w:val="0"/>
          <w:sz w:val="24"/>
          <w:szCs w:val="24"/>
        </w:rPr>
        <w:t>专业增设的必要性、可行性，</w:t>
      </w:r>
      <w:r>
        <w:rPr>
          <w:rFonts w:hint="eastAsia" w:ascii="仿宋" w:hAnsi="仿宋" w:eastAsia="仿宋" w:cs="仿宋"/>
          <w:color w:val="181818"/>
          <w:kern w:val="0"/>
          <w:sz w:val="24"/>
          <w:szCs w:val="24"/>
        </w:rPr>
        <w:t>省内其他开设</w:t>
      </w:r>
      <w:r>
        <w:rPr>
          <w:rFonts w:hint="eastAsia" w:ascii="仿宋" w:hAnsi="仿宋" w:eastAsia="仿宋" w:cs="仿宋"/>
          <w:color w:val="181818"/>
          <w:kern w:val="0"/>
          <w:sz w:val="24"/>
          <w:szCs w:val="24"/>
          <w:lang w:eastAsia="zh-CN"/>
        </w:rPr>
        <w:t>老年人服务与管理专业</w:t>
      </w:r>
      <w:r>
        <w:rPr>
          <w:rFonts w:hint="eastAsia" w:ascii="仿宋" w:hAnsi="仿宋" w:eastAsia="仿宋" w:cs="仿宋"/>
          <w:color w:val="181818"/>
          <w:kern w:val="0"/>
          <w:sz w:val="24"/>
          <w:szCs w:val="24"/>
        </w:rPr>
        <w:t>的</w:t>
      </w:r>
      <w:r>
        <w:rPr>
          <w:rFonts w:hint="eastAsia" w:ascii="仿宋" w:hAnsi="仿宋" w:eastAsia="仿宋" w:cs="仿宋"/>
          <w:color w:val="181818"/>
          <w:kern w:val="0"/>
          <w:sz w:val="24"/>
          <w:szCs w:val="24"/>
          <w:lang w:eastAsia="zh-CN"/>
        </w:rPr>
        <w:t>中职学</w:t>
      </w:r>
      <w:r>
        <w:rPr>
          <w:rFonts w:hint="eastAsia" w:ascii="仿宋" w:hAnsi="仿宋" w:eastAsia="仿宋" w:cs="仿宋"/>
          <w:color w:val="181818"/>
          <w:kern w:val="0"/>
          <w:sz w:val="24"/>
          <w:szCs w:val="24"/>
        </w:rPr>
        <w:t>校招生及学生就业情况；</w:t>
      </w:r>
      <w:r>
        <w:rPr>
          <w:rFonts w:hint="eastAsia" w:ascii="仿宋" w:hAnsi="仿宋" w:eastAsia="仿宋" w:cs="仿宋"/>
          <w:color w:val="181818"/>
          <w:kern w:val="0"/>
          <w:sz w:val="24"/>
          <w:szCs w:val="24"/>
        </w:rPr>
        <w:t>特别是新增专业的人才需求情况和主动服务</w:t>
      </w:r>
      <w:r>
        <w:rPr>
          <w:rFonts w:hint="eastAsia" w:ascii="仿宋" w:hAnsi="仿宋" w:eastAsia="仿宋" w:cs="仿宋"/>
          <w:color w:val="181818"/>
          <w:kern w:val="0"/>
          <w:sz w:val="24"/>
          <w:szCs w:val="24"/>
          <w:lang w:eastAsia="zh-CN"/>
        </w:rPr>
        <w:t>广东省粤西地区</w:t>
      </w:r>
      <w:r>
        <w:rPr>
          <w:rFonts w:hint="eastAsia" w:ascii="仿宋" w:hAnsi="仿宋" w:eastAsia="仿宋" w:cs="仿宋"/>
          <w:color w:val="181818"/>
          <w:kern w:val="0"/>
          <w:sz w:val="24"/>
          <w:szCs w:val="24"/>
          <w:lang w:val="en-US" w:eastAsia="zh-CN"/>
        </w:rPr>
        <w:t>养老服务</w:t>
      </w:r>
      <w:r>
        <w:rPr>
          <w:rFonts w:hint="eastAsia" w:ascii="仿宋" w:hAnsi="仿宋" w:eastAsia="仿宋" w:cs="仿宋"/>
          <w:color w:val="181818"/>
          <w:kern w:val="0"/>
          <w:sz w:val="24"/>
          <w:szCs w:val="24"/>
        </w:rPr>
        <w:t>产业</w:t>
      </w:r>
      <w:r>
        <w:rPr>
          <w:rFonts w:hint="eastAsia" w:ascii="仿宋" w:hAnsi="仿宋" w:eastAsia="仿宋" w:cs="仿宋"/>
          <w:color w:val="181818"/>
          <w:kern w:val="0"/>
          <w:sz w:val="24"/>
          <w:szCs w:val="24"/>
        </w:rPr>
        <w:t>发展的</w:t>
      </w:r>
      <w:r>
        <w:rPr>
          <w:rFonts w:hint="eastAsia" w:ascii="仿宋" w:hAnsi="仿宋" w:eastAsia="仿宋" w:cs="仿宋"/>
          <w:color w:val="181818"/>
          <w:kern w:val="0"/>
          <w:sz w:val="24"/>
          <w:szCs w:val="24"/>
        </w:rPr>
        <w:t>情况</w:t>
      </w:r>
      <w:r>
        <w:rPr>
          <w:rFonts w:hint="eastAsia" w:ascii="仿宋" w:hAnsi="仿宋" w:eastAsia="仿宋" w:cs="仿宋"/>
          <w:color w:val="181818"/>
          <w:kern w:val="0"/>
          <w:sz w:val="24"/>
          <w:szCs w:val="24"/>
        </w:rPr>
        <w:t>；</w:t>
      </w:r>
      <w:r>
        <w:rPr>
          <w:rFonts w:hint="eastAsia" w:ascii="仿宋" w:hAnsi="仿宋" w:eastAsia="仿宋" w:cs="仿宋"/>
          <w:color w:val="181818"/>
          <w:kern w:val="0"/>
          <w:sz w:val="24"/>
          <w:szCs w:val="24"/>
        </w:rPr>
        <w:t>专业</w:t>
      </w:r>
      <w:r>
        <w:rPr>
          <w:rFonts w:hint="eastAsia" w:ascii="仿宋" w:hAnsi="仿宋" w:eastAsia="仿宋" w:cs="仿宋"/>
          <w:color w:val="181818"/>
          <w:kern w:val="0"/>
          <w:sz w:val="24"/>
          <w:szCs w:val="24"/>
        </w:rPr>
        <w:t>人才</w:t>
      </w:r>
      <w:r>
        <w:rPr>
          <w:rFonts w:hint="eastAsia" w:ascii="仿宋" w:hAnsi="仿宋" w:eastAsia="仿宋" w:cs="仿宋"/>
          <w:color w:val="181818"/>
          <w:kern w:val="0"/>
          <w:sz w:val="24"/>
          <w:szCs w:val="24"/>
        </w:rPr>
        <w:t>培养目标、就业面向、主干课程、所具备的师资力量和办学条件等方面</w:t>
      </w:r>
      <w:r>
        <w:rPr>
          <w:rFonts w:hint="eastAsia" w:ascii="仿宋" w:hAnsi="仿宋" w:eastAsia="仿宋" w:cs="仿宋"/>
          <w:color w:val="181818"/>
          <w:kern w:val="0"/>
          <w:sz w:val="24"/>
          <w:szCs w:val="24"/>
        </w:rPr>
        <w:t>情况；论证小组</w:t>
      </w:r>
      <w:r>
        <w:rPr>
          <w:rFonts w:hint="eastAsia" w:ascii="仿宋" w:hAnsi="仿宋" w:eastAsia="仿宋" w:cs="仿宋"/>
          <w:color w:val="181818"/>
          <w:kern w:val="0"/>
          <w:sz w:val="24"/>
          <w:szCs w:val="24"/>
        </w:rPr>
        <w:t>考察了</w:t>
      </w:r>
      <w:r>
        <w:rPr>
          <w:rFonts w:hint="eastAsia" w:ascii="仿宋" w:hAnsi="仿宋" w:eastAsia="仿宋" w:cs="仿宋"/>
          <w:color w:val="181818"/>
          <w:kern w:val="0"/>
          <w:sz w:val="24"/>
          <w:szCs w:val="24"/>
        </w:rPr>
        <w:t>实训场地及设备的准备情况，审查了专业带头人及骨干教师的资质及阅历情况。专家组经过讨论形成了以下意见：</w:t>
      </w:r>
    </w:p>
    <w:p>
      <w:pPr>
        <w:numPr>
          <w:ilvl w:val="0"/>
          <w:numId w:val="1"/>
        </w:numPr>
        <w:spacing w:line="360" w:lineRule="auto"/>
        <w:ind w:firstLine="480" w:firstLineChars="200"/>
        <w:rPr>
          <w:rFonts w:hint="eastAsia" w:ascii="仿宋" w:hAnsi="仿宋" w:eastAsia="仿宋" w:cs="仿宋"/>
          <w:color w:val="181818"/>
          <w:kern w:val="0"/>
          <w:sz w:val="24"/>
          <w:szCs w:val="24"/>
          <w:lang w:eastAsia="zh-CN"/>
        </w:rPr>
      </w:pPr>
      <w:r>
        <w:rPr>
          <w:rFonts w:hint="eastAsia" w:ascii="仿宋" w:hAnsi="仿宋" w:eastAsia="仿宋" w:cs="仿宋"/>
          <w:color w:val="181818"/>
          <w:kern w:val="0"/>
          <w:sz w:val="24"/>
          <w:szCs w:val="24"/>
          <w:lang w:val="en-US" w:eastAsia="zh-CN"/>
        </w:rPr>
        <w:t>老年人服务与管理专业开设</w:t>
      </w:r>
      <w:r>
        <w:rPr>
          <w:rFonts w:hint="eastAsia" w:ascii="仿宋" w:hAnsi="仿宋" w:eastAsia="仿宋" w:cs="仿宋"/>
          <w:color w:val="181818"/>
          <w:kern w:val="0"/>
          <w:sz w:val="24"/>
          <w:szCs w:val="24"/>
        </w:rPr>
        <w:t>符合</w:t>
      </w:r>
      <w:r>
        <w:rPr>
          <w:rFonts w:hint="eastAsia" w:ascii="仿宋" w:hAnsi="仿宋" w:eastAsia="仿宋" w:cs="仿宋"/>
          <w:color w:val="181818"/>
          <w:kern w:val="0"/>
          <w:sz w:val="24"/>
          <w:szCs w:val="24"/>
          <w:lang w:eastAsia="zh-CN"/>
        </w:rPr>
        <w:t>广东省养老服务</w:t>
      </w:r>
      <w:r>
        <w:rPr>
          <w:rFonts w:hint="eastAsia" w:ascii="仿宋" w:hAnsi="仿宋" w:eastAsia="仿宋" w:cs="仿宋"/>
          <w:color w:val="181818"/>
          <w:kern w:val="0"/>
          <w:sz w:val="24"/>
          <w:szCs w:val="24"/>
        </w:rPr>
        <w:t>人才市场的需求</w:t>
      </w:r>
      <w:r>
        <w:rPr>
          <w:rFonts w:hint="eastAsia" w:ascii="仿宋" w:hAnsi="仿宋" w:eastAsia="仿宋" w:cs="仿宋"/>
          <w:color w:val="181818"/>
          <w:kern w:val="0"/>
          <w:sz w:val="24"/>
          <w:szCs w:val="24"/>
          <w:lang w:eastAsia="zh-CN"/>
        </w:rPr>
        <w:t>。</w:t>
      </w:r>
      <w:r>
        <w:rPr>
          <w:rFonts w:hint="eastAsia" w:ascii="仿宋" w:hAnsi="仿宋" w:eastAsia="仿宋" w:cs="仿宋"/>
          <w:color w:val="181818"/>
          <w:kern w:val="0"/>
          <w:sz w:val="24"/>
          <w:szCs w:val="24"/>
          <w:lang w:val="en-US" w:eastAsia="zh-CN"/>
        </w:rPr>
        <w:t>养老服务</w:t>
      </w:r>
      <w:r>
        <w:rPr>
          <w:rFonts w:hint="eastAsia" w:ascii="仿宋" w:hAnsi="仿宋" w:eastAsia="仿宋" w:cs="仿宋"/>
          <w:color w:val="181818"/>
          <w:kern w:val="0"/>
          <w:sz w:val="24"/>
          <w:szCs w:val="24"/>
          <w:lang w:eastAsia="zh-CN"/>
        </w:rPr>
        <w:t>产业已成为国民经济重要支柱之一，国家对健康产业的扶持力度逐年增长，为健康产业发展提供了肥沃的土壤基础。</w:t>
      </w:r>
      <w:r>
        <w:rPr>
          <w:rFonts w:hint="eastAsia" w:ascii="仿宋" w:hAnsi="仿宋" w:eastAsia="仿宋" w:cs="仿宋"/>
          <w:color w:val="181818"/>
          <w:kern w:val="0"/>
          <w:sz w:val="24"/>
          <w:szCs w:val="24"/>
          <w:lang w:val="en-US" w:eastAsia="zh-CN"/>
        </w:rPr>
        <w:t>广东健康养老服务行业在全国处于领先的地位，养老服务与管理人才需求量激增。</w:t>
      </w:r>
    </w:p>
    <w:p>
      <w:pPr>
        <w:numPr>
          <w:ilvl w:val="0"/>
          <w:numId w:val="1"/>
        </w:numPr>
        <w:spacing w:line="360" w:lineRule="auto"/>
        <w:ind w:firstLine="480" w:firstLineChars="200"/>
        <w:rPr>
          <w:rFonts w:hint="eastAsia" w:ascii="仿宋" w:hAnsi="仿宋" w:eastAsia="仿宋" w:cs="仿宋"/>
          <w:color w:val="181818"/>
          <w:kern w:val="0"/>
          <w:sz w:val="24"/>
          <w:szCs w:val="24"/>
          <w:lang w:val="en-US" w:eastAsia="zh-CN"/>
        </w:rPr>
      </w:pPr>
      <w:r>
        <w:rPr>
          <w:rFonts w:hint="eastAsia" w:ascii="仿宋" w:hAnsi="仿宋" w:eastAsia="仿宋" w:cs="仿宋"/>
          <w:color w:val="181818"/>
          <w:kern w:val="0"/>
          <w:sz w:val="24"/>
          <w:szCs w:val="24"/>
        </w:rPr>
        <w:t>人才培养目标定位准确，人才培养方案科学合理。人才培养目标符合人才市场需求，强调加强职业道德教育、技能训练和学习能力。人才培养方案体现了“专业与职业一体，学业与岗位融通”人才培养模式的内涵要求。课程设置与培养目标相一致，体现了</w:t>
      </w:r>
      <w:r>
        <w:rPr>
          <w:rFonts w:hint="eastAsia" w:ascii="仿宋" w:hAnsi="仿宋" w:eastAsia="仿宋" w:cs="仿宋"/>
          <w:color w:val="181818"/>
          <w:kern w:val="0"/>
          <w:sz w:val="24"/>
          <w:szCs w:val="24"/>
          <w:lang w:eastAsia="zh-CN"/>
        </w:rPr>
        <w:t>老年人服务与管理专业</w:t>
      </w:r>
      <w:r>
        <w:rPr>
          <w:rFonts w:hint="eastAsia" w:ascii="仿宋" w:hAnsi="仿宋" w:eastAsia="仿宋" w:cs="仿宋"/>
          <w:color w:val="181818"/>
          <w:kern w:val="0"/>
          <w:sz w:val="24"/>
          <w:szCs w:val="24"/>
        </w:rPr>
        <w:t>的特色。</w:t>
      </w:r>
    </w:p>
    <w:p>
      <w:pPr>
        <w:numPr>
          <w:ilvl w:val="0"/>
          <w:numId w:val="1"/>
        </w:numPr>
        <w:spacing w:line="360" w:lineRule="auto"/>
        <w:ind w:firstLine="480" w:firstLineChars="200"/>
        <w:rPr>
          <w:rFonts w:hint="eastAsia" w:ascii="仿宋" w:hAnsi="仿宋" w:eastAsia="仿宋" w:cs="仿宋"/>
          <w:color w:val="181818"/>
          <w:kern w:val="0"/>
          <w:sz w:val="24"/>
          <w:szCs w:val="24"/>
          <w:lang w:val="en-US" w:eastAsia="zh-CN"/>
        </w:rPr>
      </w:pPr>
      <w:r>
        <w:rPr>
          <w:rFonts w:hint="eastAsia" w:ascii="仿宋" w:hAnsi="仿宋" w:eastAsia="仿宋" w:cs="仿宋"/>
          <w:color w:val="181818"/>
          <w:kern w:val="0"/>
          <w:sz w:val="24"/>
          <w:szCs w:val="24"/>
          <w:lang w:eastAsia="zh-CN"/>
        </w:rPr>
        <w:t>师资力量雄厚。老年人服务与管理专业配备公共基础课、专业基础课、专业核心课、选修课专任教师和实验实训教师</w:t>
      </w:r>
      <w:r>
        <w:rPr>
          <w:rFonts w:hint="eastAsia" w:ascii="仿宋" w:hAnsi="仿宋" w:eastAsia="仿宋" w:cs="仿宋"/>
          <w:color w:val="181818"/>
          <w:kern w:val="0"/>
          <w:sz w:val="24"/>
          <w:szCs w:val="24"/>
          <w:lang w:val="en-US" w:eastAsia="zh-CN"/>
        </w:rPr>
        <w:t>，同时聘请行业企业专家进校授课，师资配备齐全。</w:t>
      </w:r>
    </w:p>
    <w:p>
      <w:pPr>
        <w:numPr>
          <w:ilvl w:val="0"/>
          <w:numId w:val="1"/>
        </w:numPr>
        <w:spacing w:line="360" w:lineRule="auto"/>
        <w:ind w:firstLine="480" w:firstLineChars="200"/>
        <w:rPr>
          <w:rFonts w:hint="eastAsia" w:ascii="仿宋" w:hAnsi="仿宋" w:eastAsia="仿宋" w:cs="仿宋"/>
          <w:color w:val="181818"/>
          <w:kern w:val="0"/>
          <w:sz w:val="24"/>
          <w:szCs w:val="24"/>
          <w:lang w:val="en-US" w:eastAsia="zh-CN"/>
        </w:rPr>
      </w:pPr>
      <w:r>
        <w:rPr>
          <w:rFonts w:hint="eastAsia" w:ascii="仿宋" w:hAnsi="仿宋" w:eastAsia="仿宋" w:cs="仿宋"/>
          <w:color w:val="181818"/>
          <w:kern w:val="0"/>
          <w:sz w:val="24"/>
          <w:szCs w:val="24"/>
          <w:lang w:val="en-US" w:eastAsia="zh-CN"/>
        </w:rPr>
        <w:t>有比较完善的校内实验实训条件和校外实习实训基地，满足学生实验实训和跟岗、顶岗实习需要。 </w:t>
      </w:r>
    </w:p>
    <w:p>
      <w:pPr>
        <w:numPr>
          <w:ilvl w:val="0"/>
          <w:numId w:val="0"/>
        </w:numPr>
        <w:spacing w:line="360" w:lineRule="auto"/>
        <w:ind w:firstLine="482" w:firstLineChars="200"/>
        <w:rPr>
          <w:rFonts w:hint="eastAsia" w:ascii="仿宋" w:hAnsi="仿宋" w:eastAsia="仿宋" w:cs="仿宋"/>
          <w:sz w:val="24"/>
          <w:szCs w:val="24"/>
        </w:rPr>
      </w:pPr>
      <w:r>
        <w:rPr>
          <w:rFonts w:hint="eastAsia" w:ascii="仿宋" w:hAnsi="仿宋" w:eastAsia="仿宋" w:cs="仿宋"/>
          <w:b/>
          <w:bCs/>
          <w:color w:val="181818"/>
          <w:kern w:val="0"/>
          <w:sz w:val="24"/>
          <w:szCs w:val="24"/>
        </w:rPr>
        <w:t>论证结论</w:t>
      </w:r>
      <w:r>
        <w:rPr>
          <w:rFonts w:hint="eastAsia" w:ascii="仿宋" w:hAnsi="仿宋" w:eastAsia="仿宋" w:cs="仿宋"/>
          <w:color w:val="181818"/>
          <w:kern w:val="0"/>
          <w:sz w:val="24"/>
          <w:szCs w:val="24"/>
        </w:rPr>
        <w:t>：</w:t>
      </w:r>
      <w:r>
        <w:rPr>
          <w:rFonts w:hint="eastAsia" w:ascii="仿宋" w:hAnsi="仿宋" w:eastAsia="仿宋" w:cs="仿宋"/>
          <w:color w:val="181818"/>
          <w:kern w:val="0"/>
          <w:sz w:val="24"/>
          <w:szCs w:val="24"/>
          <w:lang w:eastAsia="zh-CN"/>
        </w:rPr>
        <w:t>老年人服务与管理专业</w:t>
      </w:r>
      <w:r>
        <w:rPr>
          <w:rFonts w:hint="eastAsia" w:ascii="仿宋" w:hAnsi="仿宋" w:eastAsia="仿宋" w:cs="仿宋"/>
          <w:color w:val="181818"/>
          <w:kern w:val="0"/>
          <w:sz w:val="24"/>
          <w:szCs w:val="24"/>
        </w:rPr>
        <w:t>可以满足</w:t>
      </w:r>
      <w:r>
        <w:rPr>
          <w:rFonts w:hint="eastAsia" w:ascii="仿宋" w:hAnsi="仿宋" w:eastAsia="仿宋" w:cs="仿宋"/>
          <w:color w:val="181818"/>
          <w:kern w:val="0"/>
          <w:sz w:val="24"/>
          <w:szCs w:val="24"/>
        </w:rPr>
        <w:t>我省</w:t>
      </w:r>
      <w:r>
        <w:rPr>
          <w:rFonts w:hint="eastAsia" w:ascii="仿宋" w:hAnsi="仿宋" w:eastAsia="仿宋" w:cs="仿宋"/>
          <w:color w:val="181818"/>
          <w:kern w:val="0"/>
          <w:sz w:val="24"/>
          <w:szCs w:val="24"/>
          <w:lang w:val="en-US" w:eastAsia="zh-CN"/>
        </w:rPr>
        <w:t>养老服务行业</w:t>
      </w:r>
      <w:r>
        <w:rPr>
          <w:rFonts w:hint="eastAsia" w:ascii="仿宋" w:hAnsi="仿宋" w:eastAsia="仿宋" w:cs="仿宋"/>
          <w:color w:val="181818"/>
          <w:kern w:val="0"/>
          <w:sz w:val="24"/>
          <w:szCs w:val="24"/>
        </w:rPr>
        <w:t>对</w:t>
      </w:r>
      <w:r>
        <w:rPr>
          <w:rFonts w:hint="eastAsia" w:ascii="仿宋" w:hAnsi="仿宋" w:eastAsia="仿宋" w:cs="仿宋"/>
          <w:color w:val="181818"/>
          <w:kern w:val="0"/>
          <w:sz w:val="24"/>
          <w:szCs w:val="24"/>
        </w:rPr>
        <w:t>专业人才的</w:t>
      </w:r>
      <w:r>
        <w:rPr>
          <w:rFonts w:hint="eastAsia" w:ascii="仿宋" w:hAnsi="仿宋" w:eastAsia="仿宋" w:cs="仿宋"/>
          <w:color w:val="181818"/>
          <w:kern w:val="0"/>
          <w:sz w:val="24"/>
          <w:szCs w:val="24"/>
        </w:rPr>
        <w:t>需求</w:t>
      </w:r>
      <w:r>
        <w:rPr>
          <w:rFonts w:hint="eastAsia" w:ascii="仿宋" w:hAnsi="仿宋" w:eastAsia="仿宋" w:cs="仿宋"/>
          <w:color w:val="181818"/>
          <w:kern w:val="0"/>
          <w:sz w:val="24"/>
          <w:szCs w:val="24"/>
        </w:rPr>
        <w:t>，</w:t>
      </w:r>
      <w:r>
        <w:rPr>
          <w:rFonts w:hint="eastAsia" w:ascii="仿宋" w:hAnsi="仿宋" w:eastAsia="仿宋" w:cs="仿宋"/>
          <w:color w:val="181818"/>
          <w:kern w:val="0"/>
          <w:sz w:val="24"/>
          <w:szCs w:val="24"/>
        </w:rPr>
        <w:t>与学院的办学定位、专业建设规划相符合，充分体现我院服务</w:t>
      </w:r>
      <w:r>
        <w:rPr>
          <w:rFonts w:hint="eastAsia" w:ascii="仿宋" w:hAnsi="仿宋" w:eastAsia="仿宋" w:cs="仿宋"/>
          <w:color w:val="181818"/>
          <w:kern w:val="0"/>
          <w:sz w:val="24"/>
          <w:szCs w:val="24"/>
          <w:lang w:eastAsia="zh-CN"/>
        </w:rPr>
        <w:t>与</w:t>
      </w:r>
      <w:r>
        <w:rPr>
          <w:rFonts w:hint="eastAsia" w:ascii="仿宋" w:hAnsi="仿宋" w:eastAsia="仿宋" w:cs="仿宋"/>
          <w:color w:val="181818"/>
          <w:kern w:val="0"/>
          <w:sz w:val="24"/>
          <w:szCs w:val="24"/>
          <w:lang w:val="en-US" w:eastAsia="zh-CN"/>
        </w:rPr>
        <w:t>促进养老</w:t>
      </w:r>
      <w:r>
        <w:rPr>
          <w:rFonts w:hint="eastAsia" w:ascii="仿宋" w:hAnsi="仿宋" w:eastAsia="仿宋" w:cs="仿宋"/>
          <w:color w:val="181818"/>
          <w:kern w:val="0"/>
          <w:sz w:val="24"/>
          <w:szCs w:val="24"/>
          <w:lang w:eastAsia="zh-CN"/>
        </w:rPr>
        <w:t>产业</w:t>
      </w:r>
      <w:r>
        <w:rPr>
          <w:rFonts w:hint="eastAsia" w:ascii="仿宋" w:hAnsi="仿宋" w:eastAsia="仿宋" w:cs="仿宋"/>
          <w:color w:val="181818"/>
          <w:kern w:val="0"/>
          <w:sz w:val="24"/>
          <w:szCs w:val="24"/>
        </w:rPr>
        <w:t>的特色。</w:t>
      </w:r>
      <w:r>
        <w:rPr>
          <w:rFonts w:hint="eastAsia" w:ascii="仿宋" w:hAnsi="仿宋" w:eastAsia="仿宋" w:cs="仿宋"/>
          <w:color w:val="181818"/>
          <w:kern w:val="0"/>
          <w:sz w:val="24"/>
          <w:szCs w:val="24"/>
        </w:rPr>
        <w:t>专业的培养目标明确</w:t>
      </w:r>
      <w:r>
        <w:rPr>
          <w:rFonts w:hint="eastAsia" w:ascii="仿宋" w:hAnsi="仿宋" w:eastAsia="仿宋" w:cs="仿宋"/>
          <w:color w:val="181818"/>
          <w:kern w:val="0"/>
          <w:sz w:val="24"/>
          <w:szCs w:val="24"/>
        </w:rPr>
        <w:t>，</w:t>
      </w:r>
      <w:r>
        <w:rPr>
          <w:rFonts w:hint="eastAsia" w:ascii="仿宋" w:hAnsi="仿宋" w:eastAsia="仿宋" w:cs="仿宋"/>
          <w:color w:val="181818"/>
          <w:kern w:val="0"/>
          <w:sz w:val="24"/>
          <w:szCs w:val="24"/>
        </w:rPr>
        <w:t>课程体系设置科学合理</w:t>
      </w:r>
      <w:r>
        <w:rPr>
          <w:rFonts w:hint="eastAsia" w:ascii="仿宋" w:hAnsi="仿宋" w:eastAsia="仿宋" w:cs="仿宋"/>
          <w:color w:val="181818"/>
          <w:kern w:val="0"/>
          <w:sz w:val="24"/>
          <w:szCs w:val="24"/>
        </w:rPr>
        <w:t>，</w:t>
      </w:r>
      <w:r>
        <w:rPr>
          <w:rFonts w:hint="eastAsia" w:ascii="仿宋" w:hAnsi="仿宋" w:eastAsia="仿宋" w:cs="仿宋"/>
          <w:color w:val="181818"/>
          <w:kern w:val="0"/>
          <w:sz w:val="24"/>
          <w:szCs w:val="24"/>
        </w:rPr>
        <w:t>拥有</w:t>
      </w:r>
      <w:r>
        <w:rPr>
          <w:rFonts w:hint="eastAsia" w:ascii="仿宋" w:hAnsi="仿宋" w:eastAsia="仿宋" w:cs="仿宋"/>
          <w:color w:val="181818"/>
          <w:kern w:val="0"/>
          <w:sz w:val="24"/>
          <w:szCs w:val="24"/>
        </w:rPr>
        <w:t>雄厚</w:t>
      </w:r>
      <w:r>
        <w:rPr>
          <w:rFonts w:hint="eastAsia" w:ascii="仿宋" w:hAnsi="仿宋" w:eastAsia="仿宋" w:cs="仿宋"/>
          <w:color w:val="181818"/>
          <w:kern w:val="0"/>
          <w:sz w:val="24"/>
          <w:szCs w:val="24"/>
        </w:rPr>
        <w:t>的专业教学师资力量</w:t>
      </w:r>
      <w:r>
        <w:rPr>
          <w:rFonts w:hint="eastAsia" w:ascii="仿宋" w:hAnsi="仿宋" w:eastAsia="仿宋" w:cs="仿宋"/>
          <w:color w:val="181818"/>
          <w:kern w:val="0"/>
          <w:sz w:val="24"/>
          <w:szCs w:val="24"/>
        </w:rPr>
        <w:t>，</w:t>
      </w:r>
      <w:r>
        <w:rPr>
          <w:rFonts w:hint="eastAsia" w:ascii="仿宋" w:hAnsi="仿宋" w:eastAsia="仿宋" w:cs="仿宋"/>
          <w:color w:val="181818"/>
          <w:kern w:val="0"/>
          <w:sz w:val="24"/>
          <w:szCs w:val="24"/>
        </w:rPr>
        <w:t>实训设备和场地满足专业教学要求</w:t>
      </w:r>
      <w:r>
        <w:rPr>
          <w:rFonts w:hint="eastAsia" w:ascii="仿宋" w:hAnsi="仿宋" w:eastAsia="仿宋" w:cs="仿宋"/>
          <w:color w:val="181818"/>
          <w:kern w:val="0"/>
          <w:sz w:val="24"/>
          <w:szCs w:val="24"/>
        </w:rPr>
        <w:t>。建议加快各种准备工作进度，以保证20</w:t>
      </w:r>
      <w:r>
        <w:rPr>
          <w:rFonts w:hint="eastAsia" w:ascii="仿宋" w:hAnsi="仿宋" w:eastAsia="仿宋" w:cs="仿宋"/>
          <w:color w:val="181818"/>
          <w:kern w:val="0"/>
          <w:sz w:val="24"/>
          <w:szCs w:val="24"/>
          <w:lang w:val="en-US" w:eastAsia="zh-CN"/>
        </w:rPr>
        <w:t>20</w:t>
      </w:r>
      <w:r>
        <w:rPr>
          <w:rFonts w:hint="eastAsia" w:ascii="仿宋" w:hAnsi="仿宋" w:eastAsia="仿宋" w:cs="仿宋"/>
          <w:color w:val="181818"/>
          <w:kern w:val="0"/>
          <w:sz w:val="24"/>
          <w:szCs w:val="24"/>
        </w:rPr>
        <w:t>年</w:t>
      </w:r>
      <w:r>
        <w:rPr>
          <w:rFonts w:hint="eastAsia" w:ascii="仿宋" w:hAnsi="仿宋" w:eastAsia="仿宋" w:cs="仿宋"/>
          <w:color w:val="181818"/>
          <w:kern w:val="0"/>
          <w:sz w:val="24"/>
          <w:szCs w:val="24"/>
        </w:rPr>
        <w:t>招生工作顺利进行</w:t>
      </w:r>
      <w:r>
        <w:rPr>
          <w:rFonts w:hint="eastAsia" w:ascii="仿宋" w:hAnsi="仿宋" w:eastAsia="仿宋" w:cs="仿宋"/>
          <w:color w:val="181818"/>
          <w:kern w:val="0"/>
          <w:sz w:val="24"/>
          <w:szCs w:val="24"/>
        </w:rPr>
        <w:t>。</w:t>
      </w:r>
    </w:p>
    <w:p>
      <w:pPr>
        <w:spacing w:line="360" w:lineRule="auto"/>
        <w:rPr>
          <w:rFonts w:hint="eastAsia" w:ascii="仿宋" w:hAnsi="仿宋" w:eastAsia="仿宋" w:cs="仿宋"/>
          <w:sz w:val="24"/>
          <w:szCs w:val="24"/>
        </w:rPr>
      </w:pPr>
    </w:p>
    <w:p>
      <w:pPr>
        <w:spacing w:line="360" w:lineRule="auto"/>
        <w:ind w:left="0" w:leftChars="0" w:firstLine="0" w:firstLineChars="0"/>
        <w:jc w:val="both"/>
        <w:rPr>
          <w:rStyle w:val="9"/>
          <w:rFonts w:hint="eastAsia" w:ascii="仿宋" w:hAnsi="仿宋" w:eastAsia="仿宋" w:cs="仿宋"/>
          <w:b w:val="0"/>
          <w:bCs/>
          <w:i w:val="0"/>
          <w:iCs w:val="0"/>
          <w:caps w:val="0"/>
          <w:spacing w:val="17"/>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5F881F"/>
    <w:multiLevelType w:val="singleLevel"/>
    <w:tmpl w:val="145F881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xN2VjNTIyMmQyMGM0N2I1MjgzN2M4MjNhOTM1N2IifQ=="/>
  </w:docVars>
  <w:rsids>
    <w:rsidRoot w:val="00000000"/>
    <w:rsid w:val="0D9F67EE"/>
    <w:rsid w:val="10087BC6"/>
    <w:rsid w:val="23811D3A"/>
    <w:rsid w:val="265F4B25"/>
    <w:rsid w:val="28667C49"/>
    <w:rsid w:val="2C043A01"/>
    <w:rsid w:val="3DDB5FC4"/>
    <w:rsid w:val="46521EC1"/>
    <w:rsid w:val="539D711A"/>
    <w:rsid w:val="54697358"/>
    <w:rsid w:val="548A7A02"/>
    <w:rsid w:val="59550FAE"/>
    <w:rsid w:val="5CF96B1D"/>
    <w:rsid w:val="62D97EFC"/>
    <w:rsid w:val="6667518D"/>
    <w:rsid w:val="6D2758BB"/>
    <w:rsid w:val="7CE56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ind w:firstLine="736" w:firstLineChars="200"/>
      <w:jc w:val="left"/>
      <w:textAlignment w:val="baseline"/>
    </w:pPr>
    <w:rPr>
      <w:rFonts w:ascii="Times New Roman" w:hAnsi="Times New Roman" w:eastAsia="宋体" w:cs="Times New Roman"/>
      <w:snapToGrid w:val="0"/>
      <w:color w:val="000000"/>
      <w:kern w:val="0"/>
      <w:sz w:val="24"/>
      <w:szCs w:val="21"/>
      <w:lang w:val="en-US" w:eastAsia="en-US" w:bidi="ar-SA"/>
    </w:rPr>
  </w:style>
  <w:style w:type="paragraph" w:styleId="2">
    <w:name w:val="heading 1"/>
    <w:basedOn w:val="1"/>
    <w:next w:val="1"/>
    <w:link w:val="12"/>
    <w:qFormat/>
    <w:uiPriority w:val="0"/>
    <w:pPr>
      <w:keepNext/>
      <w:keepLines/>
      <w:spacing w:line="360" w:lineRule="auto"/>
      <w:jc w:val="center"/>
      <w:outlineLvl w:val="0"/>
    </w:pPr>
    <w:rPr>
      <w:rFonts w:ascii="Times New Roman" w:hAnsi="Times New Roman" w:eastAsia="宋体" w:cs="Times New Roman"/>
      <w:b/>
      <w:bCs/>
      <w:snapToGrid w:val="0"/>
      <w:color w:val="000000"/>
      <w:kern w:val="44"/>
      <w:sz w:val="30"/>
      <w:szCs w:val="44"/>
      <w:lang w:eastAsia="en-US"/>
    </w:rPr>
  </w:style>
  <w:style w:type="paragraph" w:styleId="3">
    <w:name w:val="heading 2"/>
    <w:basedOn w:val="1"/>
    <w:next w:val="1"/>
    <w:semiHidden/>
    <w:unhideWhenUsed/>
    <w:qFormat/>
    <w:uiPriority w:val="0"/>
    <w:pPr>
      <w:keepNext/>
      <w:keepLines/>
      <w:spacing w:beforeLines="0" w:beforeAutospacing="0" w:afterLines="0" w:afterAutospacing="0" w:line="360" w:lineRule="auto"/>
      <w:outlineLvl w:val="1"/>
    </w:pPr>
    <w:rPr>
      <w:rFonts w:ascii="Times New Roman" w:hAnsi="Times New Roman" w:eastAsia="宋体" w:cs="Times New Roman"/>
      <w:b/>
      <w:snapToGrid w:val="0"/>
      <w:color w:val="000000"/>
      <w:kern w:val="0"/>
      <w:sz w:val="28"/>
      <w:szCs w:val="21"/>
      <w:lang w:eastAsia="en-US"/>
    </w:rPr>
  </w:style>
  <w:style w:type="paragraph" w:styleId="4">
    <w:name w:val="heading 3"/>
    <w:basedOn w:val="3"/>
    <w:next w:val="3"/>
    <w:semiHidden/>
    <w:unhideWhenUsed/>
    <w:qFormat/>
    <w:uiPriority w:val="0"/>
    <w:pPr>
      <w:widowControl/>
      <w:spacing w:beforeAutospacing="0" w:afterAutospacing="0" w:line="360" w:lineRule="auto"/>
      <w:jc w:val="left"/>
      <w:outlineLvl w:val="2"/>
    </w:pPr>
    <w:rPr>
      <w:rFonts w:ascii="Times New Roman" w:hAnsi="Times New Roman" w:eastAsia="宋体" w:cs="Times New Roman"/>
      <w:color w:val="000000" w:themeColor="text1"/>
      <w:sz w:val="24"/>
      <w:szCs w:val="27"/>
      <w:lang w:eastAsia="en-US"/>
      <w14:textFill>
        <w14:solidFill>
          <w14:schemeClr w14:val="tx1"/>
        </w14:solidFill>
      </w14:textFill>
    </w:rPr>
  </w:style>
  <w:style w:type="paragraph" w:styleId="5">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宋体" w:cs="Arial"/>
      <w:snapToGrid w:val="0"/>
      <w:color w:val="000000"/>
      <w:kern w:val="0"/>
      <w:sz w:val="24"/>
      <w:szCs w:val="21"/>
      <w:lang w:eastAsia="en-US"/>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qFormat/>
    <w:uiPriority w:val="0"/>
    <w:rPr>
      <w:rFonts w:hint="eastAsia" w:ascii="微软雅黑" w:hAnsi="微软雅黑" w:eastAsia="微软雅黑" w:cs="微软雅黑"/>
      <w:color w:val="000000"/>
      <w:sz w:val="10"/>
      <w:szCs w:val="10"/>
      <w:u w:val="none"/>
    </w:rPr>
  </w:style>
  <w:style w:type="character" w:styleId="11">
    <w:name w:val="Hyperlink"/>
    <w:basedOn w:val="8"/>
    <w:qFormat/>
    <w:uiPriority w:val="0"/>
    <w:rPr>
      <w:rFonts w:hint="eastAsia" w:ascii="微软雅黑" w:hAnsi="微软雅黑" w:eastAsia="微软雅黑" w:cs="微软雅黑"/>
      <w:color w:val="000000"/>
      <w:sz w:val="10"/>
      <w:szCs w:val="10"/>
      <w:u w:val="none"/>
    </w:rPr>
  </w:style>
  <w:style w:type="character" w:customStyle="1" w:styleId="12">
    <w:name w:val=" Char Char6"/>
    <w:link w:val="2"/>
    <w:qFormat/>
    <w:uiPriority w:val="0"/>
    <w:rPr>
      <w:rFonts w:ascii="Times New Roman" w:hAnsi="Times New Roman" w:eastAsia="宋体" w:cs="Times New Roman"/>
      <w:b/>
      <w:bCs/>
      <w:snapToGrid w:val="0"/>
      <w:color w:val="000000"/>
      <w:kern w:val="44"/>
      <w:sz w:val="30"/>
      <w:szCs w:val="44"/>
      <w:lang w:eastAsia="en-US"/>
    </w:rPr>
  </w:style>
  <w:style w:type="character" w:customStyle="1" w:styleId="13">
    <w:name w:val="layui-this"/>
    <w:basedOn w:val="8"/>
    <w:qFormat/>
    <w:uiPriority w:val="0"/>
    <w:rPr>
      <w:bdr w:val="single" w:color="EEEEEE" w:sz="4" w:space="0"/>
      <w:shd w:val="clear" w:fill="FFFFFF"/>
    </w:rPr>
  </w:style>
  <w:style w:type="character" w:customStyle="1" w:styleId="14">
    <w:name w:val="hover47"/>
    <w:basedOn w:val="8"/>
    <w:qFormat/>
    <w:uiPriority w:val="0"/>
    <w:rPr>
      <w:color w:val="757575"/>
    </w:rPr>
  </w:style>
  <w:style w:type="character" w:customStyle="1" w:styleId="15">
    <w:name w:val="hover48"/>
    <w:basedOn w:val="8"/>
    <w:qFormat/>
    <w:uiPriority w:val="0"/>
    <w:rPr>
      <w:color w:val="3B82FF"/>
    </w:rPr>
  </w:style>
  <w:style w:type="character" w:customStyle="1" w:styleId="16">
    <w:name w:val="hover49"/>
    <w:basedOn w:val="8"/>
    <w:qFormat/>
    <w:uiPriority w:val="0"/>
    <w:rPr>
      <w:color w:val="5FB878"/>
    </w:rPr>
  </w:style>
  <w:style w:type="character" w:customStyle="1" w:styleId="17">
    <w:name w:val="hover50"/>
    <w:basedOn w:val="8"/>
    <w:qFormat/>
    <w:uiPriority w:val="0"/>
    <w:rPr>
      <w:color w:val="3B82FF"/>
    </w:rPr>
  </w:style>
  <w:style w:type="character" w:customStyle="1" w:styleId="18">
    <w:name w:val="l-btn-empty"/>
    <w:basedOn w:val="8"/>
    <w:qFormat/>
    <w:uiPriority w:val="0"/>
  </w:style>
  <w:style w:type="character" w:customStyle="1" w:styleId="19">
    <w:name w:val="l-btn-left"/>
    <w:basedOn w:val="8"/>
    <w:qFormat/>
    <w:uiPriority w:val="0"/>
  </w:style>
  <w:style w:type="character" w:customStyle="1" w:styleId="20">
    <w:name w:val="l-btn-left1"/>
    <w:basedOn w:val="8"/>
    <w:qFormat/>
    <w:uiPriority w:val="0"/>
  </w:style>
  <w:style w:type="character" w:customStyle="1" w:styleId="21">
    <w:name w:val="l-btn-left2"/>
    <w:basedOn w:val="8"/>
    <w:qFormat/>
    <w:uiPriority w:val="0"/>
  </w:style>
  <w:style w:type="character" w:customStyle="1" w:styleId="22">
    <w:name w:val="l-btn-left3"/>
    <w:basedOn w:val="8"/>
    <w:qFormat/>
    <w:uiPriority w:val="0"/>
  </w:style>
  <w:style w:type="character" w:customStyle="1" w:styleId="23">
    <w:name w:val="first-child"/>
    <w:basedOn w:val="8"/>
    <w:qFormat/>
    <w:uiPriority w:val="0"/>
  </w:style>
  <w:style w:type="character" w:customStyle="1" w:styleId="24">
    <w:name w:val="l-btn-icon-left"/>
    <w:basedOn w:val="8"/>
    <w:qFormat/>
    <w:uiPriority w:val="0"/>
  </w:style>
  <w:style w:type="character" w:customStyle="1" w:styleId="25">
    <w:name w:val="l-btn-text"/>
    <w:basedOn w:val="8"/>
    <w:qFormat/>
    <w:uiPriority w:val="0"/>
    <w:rPr>
      <w:vertAlign w:val="baseline"/>
    </w:rPr>
  </w:style>
  <w:style w:type="character" w:customStyle="1" w:styleId="26">
    <w:name w:val="l-btn-icon-right"/>
    <w:basedOn w:val="8"/>
    <w:qFormat/>
    <w:uiPriority w:val="0"/>
  </w:style>
  <w:style w:type="character" w:customStyle="1" w:styleId="27">
    <w:name w:val="right-side"/>
    <w:basedOn w:val="8"/>
    <w:qFormat/>
    <w:uiPriority w:val="0"/>
  </w:style>
  <w:style w:type="character" w:customStyle="1" w:styleId="28">
    <w:name w:val="layui-laypage-curr"/>
    <w:basedOn w:val="8"/>
    <w:qFormat/>
    <w:uiPriority w:val="0"/>
  </w:style>
  <w:style w:type="character" w:customStyle="1" w:styleId="29">
    <w:name w:val="picview"/>
    <w:basedOn w:val="8"/>
    <w:qFormat/>
    <w:uiPriority w:val="0"/>
  </w:style>
  <w:style w:type="character" w:customStyle="1" w:styleId="30">
    <w:name w:val="disabled"/>
    <w:basedOn w:val="8"/>
    <w:qFormat/>
    <w:uiPriority w:val="0"/>
    <w:rPr>
      <w:color w:val="C8C8C8"/>
      <w:bdr w:val="single" w:color="E5E5E5" w:sz="4" w:space="0"/>
      <w:shd w:val="clear" w:fill="FFFFFF"/>
    </w:rPr>
  </w:style>
  <w:style w:type="character" w:customStyle="1" w:styleId="31">
    <w:name w:val="layui-this6"/>
    <w:basedOn w:val="8"/>
    <w:qFormat/>
    <w:uiPriority w:val="0"/>
    <w:rPr>
      <w:bdr w:val="single" w:color="EEEEEE" w:sz="4" w:space="0"/>
      <w:shd w:val="clear" w:fill="FFFFFF"/>
    </w:rPr>
  </w:style>
  <w:style w:type="character" w:customStyle="1" w:styleId="32">
    <w:name w:val="hover51"/>
    <w:basedOn w:val="8"/>
    <w:qFormat/>
    <w:uiPriority w:val="0"/>
    <w:rPr>
      <w:color w:val="3B82FF"/>
    </w:rPr>
  </w:style>
  <w:style w:type="character" w:customStyle="1" w:styleId="33">
    <w:name w:val="hover52"/>
    <w:basedOn w:val="8"/>
    <w:qFormat/>
    <w:uiPriority w:val="0"/>
    <w:rPr>
      <w:color w:val="3B82FF"/>
    </w:rPr>
  </w:style>
  <w:style w:type="character" w:customStyle="1" w:styleId="34">
    <w:name w:val="l-btn-left4"/>
    <w:basedOn w:val="8"/>
    <w:qFormat/>
    <w:uiPriority w:val="0"/>
  </w:style>
  <w:style w:type="character" w:customStyle="1" w:styleId="35">
    <w:name w:val="l-btn-left5"/>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2022-08-21T12:41:00Z</dcterms:created>
  <dc:creator>fyf</dc:creator>
  <cp:lastModifiedBy>叶子芳ā</cp:lastModifiedBy>
  <dcterms:modified xsi:type="dcterms:W3CDTF">2023-10-20T02:13:50Z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FEA11751D99745BEBCEDE8217065D7D0</vt:lpwstr>
  </property>
</Properties>
</file>